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08" w:rsidRPr="00E00A08" w:rsidRDefault="00E00A08" w:rsidP="00E00A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proofErr w:type="spellStart"/>
      <w:r w:rsidRPr="00E00A08">
        <w:rPr>
          <w:rFonts w:ascii="Arial" w:eastAsia="Times New Roman" w:hAnsi="Arial" w:cs="Arial"/>
          <w:color w:val="222222"/>
          <w:sz w:val="24"/>
          <w:szCs w:val="24"/>
        </w:rPr>
        <w:t>OptumRx</w:t>
      </w:r>
      <w:proofErr w:type="spellEnd"/>
      <w:r w:rsidRPr="00E00A08">
        <w:rPr>
          <w:rFonts w:ascii="Arial" w:eastAsia="Times New Roman" w:hAnsi="Arial" w:cs="Arial"/>
          <w:color w:val="222222"/>
          <w:sz w:val="24"/>
          <w:szCs w:val="24"/>
        </w:rPr>
        <w:t xml:space="preserve"> to cover colonoscopy bowel prep medications at no cost share beginning August 1</w:t>
      </w:r>
    </w:p>
    <w:p w:rsidR="00E00A08" w:rsidRPr="00E00A08" w:rsidRDefault="00E00A08" w:rsidP="00E00A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E00A0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00A08" w:rsidRPr="00E00A08" w:rsidRDefault="00E00A08" w:rsidP="00E00A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spellStart"/>
      <w:r w:rsidRPr="00E00A08">
        <w:rPr>
          <w:rFonts w:ascii="Arial" w:eastAsia="Times New Roman" w:hAnsi="Arial" w:cs="Arial"/>
          <w:color w:val="222222"/>
          <w:sz w:val="20"/>
          <w:szCs w:val="20"/>
        </w:rPr>
        <w:t>OptumRx</w:t>
      </w:r>
      <w:proofErr w:type="spellEnd"/>
      <w:r w:rsidRPr="00E00A08">
        <w:rPr>
          <w:rFonts w:ascii="Arial" w:eastAsia="Times New Roman" w:hAnsi="Arial" w:cs="Arial"/>
          <w:color w:val="222222"/>
          <w:sz w:val="20"/>
          <w:szCs w:val="20"/>
        </w:rPr>
        <w:t xml:space="preserve"> will begin covering certain bowel preparation medications for preventive colonoscopies without cost sharing beginning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E00A08">
        <w:rPr>
          <w:rFonts w:ascii="Arial" w:eastAsia="Times New Roman" w:hAnsi="Arial" w:cs="Arial"/>
          <w:color w:val="222222"/>
          <w:sz w:val="20"/>
          <w:szCs w:val="20"/>
        </w:rPr>
        <w:t>Aug. 1, 2016. The departments of Labor, Health and Human Services and the Treasury recently clarified</w:t>
      </w:r>
      <w:bookmarkStart w:id="0" w:name="_GoBack"/>
      <w:bookmarkEnd w:id="0"/>
      <w:r w:rsidRPr="00E00A08">
        <w:rPr>
          <w:rFonts w:ascii="Arial" w:eastAsia="Times New Roman" w:hAnsi="Arial" w:cs="Arial"/>
          <w:color w:val="222222"/>
          <w:sz w:val="20"/>
          <w:szCs w:val="20"/>
        </w:rPr>
        <w:t xml:space="preserve"> that bowel preparation medications listed below will be covered at no cost share when: </w:t>
      </w:r>
    </w:p>
    <w:p w:rsidR="00E00A08" w:rsidRDefault="00E00A08" w:rsidP="00E00A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00A0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E00A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00A08">
        <w:rPr>
          <w:rFonts w:ascii="Arial" w:eastAsia="Times New Roman" w:hAnsi="Arial" w:cs="Arial"/>
          <w:b/>
          <w:bCs/>
          <w:color w:val="222222"/>
          <w:sz w:val="20"/>
          <w:szCs w:val="20"/>
        </w:rPr>
        <w:t>Prescribed </w:t>
      </w:r>
      <w:r w:rsidRPr="00E00A08">
        <w:rPr>
          <w:rFonts w:ascii="Arial" w:eastAsia="Times New Roman" w:hAnsi="Arial" w:cs="Arial"/>
          <w:color w:val="222222"/>
          <w:sz w:val="20"/>
          <w:szCs w:val="20"/>
        </w:rPr>
        <w:t>as necessary before a planned preventive colonoscopy (even if the products are sold over-the-counter)</w:t>
      </w:r>
    </w:p>
    <w:p w:rsidR="00E00A08" w:rsidRPr="00E00A08" w:rsidRDefault="00E00A08" w:rsidP="00E00A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00A0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E00A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00A08">
        <w:rPr>
          <w:rFonts w:ascii="Arial" w:eastAsia="Times New Roman" w:hAnsi="Arial" w:cs="Arial"/>
          <w:b/>
          <w:bCs/>
          <w:color w:val="222222"/>
          <w:sz w:val="20"/>
          <w:szCs w:val="20"/>
        </w:rPr>
        <w:t>Filled at a network pharmacy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510"/>
        <w:gridCol w:w="1507"/>
        <w:gridCol w:w="2481"/>
      </w:tblGrid>
      <w:tr w:rsidR="00E00A08" w:rsidRPr="00E00A08" w:rsidTr="00E00A08">
        <w:tc>
          <w:tcPr>
            <w:tcW w:w="8390" w:type="dxa"/>
            <w:gridSpan w:val="4"/>
            <w:tcBorders>
              <w:top w:val="single" w:sz="8" w:space="0" w:color="53565A"/>
              <w:left w:val="single" w:sz="8" w:space="0" w:color="53565A"/>
              <w:bottom w:val="single" w:sz="8" w:space="0" w:color="53565A"/>
              <w:right w:val="single" w:sz="8" w:space="0" w:color="53565A"/>
            </w:tcBorders>
            <w:shd w:val="clear" w:color="auto" w:fill="E877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08" w:rsidRPr="00E00A08" w:rsidRDefault="00E00A08" w:rsidP="00E00A08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Colonoscopy Bowel Preparation Medications to be Covered</w:t>
            </w:r>
          </w:p>
          <w:p w:rsidR="00E00A08" w:rsidRPr="00E00A08" w:rsidRDefault="00E00A08" w:rsidP="00E00A08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at No Cost-Share Effective August 1, 2016</w:t>
            </w:r>
          </w:p>
        </w:tc>
      </w:tr>
      <w:tr w:rsidR="00E00A08" w:rsidRPr="00E00A08" w:rsidTr="00E00A08">
        <w:tc>
          <w:tcPr>
            <w:tcW w:w="892" w:type="dxa"/>
            <w:tcBorders>
              <w:top w:val="nil"/>
              <w:left w:val="single" w:sz="8" w:space="0" w:color="53565A"/>
              <w:bottom w:val="single" w:sz="8" w:space="0" w:color="53565A"/>
              <w:right w:val="single" w:sz="8" w:space="0" w:color="53565A"/>
            </w:tcBorders>
            <w:shd w:val="clear" w:color="auto" w:fill="0092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OTC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0092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Medications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0092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Population*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0092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Reason</w:t>
            </w:r>
          </w:p>
        </w:tc>
      </w:tr>
      <w:tr w:rsidR="00E00A08" w:rsidRPr="00E00A08" w:rsidTr="00E00A08">
        <w:tc>
          <w:tcPr>
            <w:tcW w:w="892" w:type="dxa"/>
            <w:tcBorders>
              <w:top w:val="nil"/>
              <w:left w:val="single" w:sz="8" w:space="0" w:color="53565A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Bisacodyl</w:t>
            </w:r>
            <w:proofErr w:type="spellEnd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 xml:space="preserve"> EC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>Recommended</w:t>
            </w:r>
          </w:p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>Age 50 – 75</w:t>
            </w:r>
          </w:p>
        </w:tc>
        <w:tc>
          <w:tcPr>
            <w:tcW w:w="2481" w:type="dxa"/>
            <w:vMerge w:val="restart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>Bowel preparation for colonoscopy needed for</w:t>
            </w:r>
          </w:p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>colon cancer screening</w:t>
            </w:r>
          </w:p>
        </w:tc>
      </w:tr>
      <w:tr w:rsidR="00E00A08" w:rsidRPr="00E00A08" w:rsidTr="00E00A08">
        <w:tc>
          <w:tcPr>
            <w:tcW w:w="892" w:type="dxa"/>
            <w:tcBorders>
              <w:top w:val="nil"/>
              <w:left w:val="single" w:sz="8" w:space="0" w:color="53565A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Magnesium Citrate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</w:tr>
      <w:tr w:rsidR="00E00A08" w:rsidRPr="00E00A08" w:rsidTr="00E00A08">
        <w:tc>
          <w:tcPr>
            <w:tcW w:w="892" w:type="dxa"/>
            <w:tcBorders>
              <w:top w:val="nil"/>
              <w:left w:val="single" w:sz="8" w:space="0" w:color="53565A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 xml:space="preserve">PEG 3350 (generic </w:t>
            </w:r>
            <w:proofErr w:type="spellStart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Miralax</w:t>
            </w:r>
            <w:proofErr w:type="spellEnd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</w:tr>
      <w:tr w:rsidR="00E00A08" w:rsidRPr="00E00A08" w:rsidTr="00E00A08">
        <w:tc>
          <w:tcPr>
            <w:tcW w:w="892" w:type="dxa"/>
            <w:tcBorders>
              <w:top w:val="nil"/>
              <w:left w:val="single" w:sz="8" w:space="0" w:color="53565A"/>
              <w:bottom w:val="single" w:sz="8" w:space="0" w:color="53565A"/>
              <w:right w:val="single" w:sz="8" w:space="0" w:color="53565A"/>
            </w:tcBorders>
            <w:shd w:val="clear" w:color="auto" w:fill="0092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0092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Medications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</w:tr>
      <w:tr w:rsidR="00E00A08" w:rsidRPr="00E00A08" w:rsidTr="00E00A08">
        <w:tc>
          <w:tcPr>
            <w:tcW w:w="892" w:type="dxa"/>
            <w:tcBorders>
              <w:top w:val="nil"/>
              <w:left w:val="single" w:sz="8" w:space="0" w:color="53565A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Calibri" w:eastAsia="Times New Roman" w:hAnsi="Calibri" w:cs="Times New Roman"/>
                <w:color w:val="2222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 xml:space="preserve">Generic </w:t>
            </w:r>
            <w:proofErr w:type="spellStart"/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>Colyte</w:t>
            </w:r>
            <w:proofErr w:type="spellEnd"/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 xml:space="preserve"> 240/22.74g sold as:</w:t>
            </w:r>
          </w:p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   PEG-3350/electrolytes</w:t>
            </w:r>
          </w:p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 xml:space="preserve">   </w:t>
            </w:r>
            <w:proofErr w:type="spellStart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Gavilyte</w:t>
            </w:r>
            <w:proofErr w:type="spellEnd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-C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</w:tr>
      <w:tr w:rsidR="00E00A08" w:rsidRPr="00E00A08" w:rsidTr="00E00A08">
        <w:tc>
          <w:tcPr>
            <w:tcW w:w="892" w:type="dxa"/>
            <w:tcBorders>
              <w:top w:val="nil"/>
              <w:left w:val="single" w:sz="8" w:space="0" w:color="53565A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Calibri" w:eastAsia="Times New Roman" w:hAnsi="Calibri" w:cs="Times New Roman"/>
                <w:color w:val="2222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 xml:space="preserve">Generic </w:t>
            </w:r>
            <w:proofErr w:type="spellStart"/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>Golytely</w:t>
            </w:r>
            <w:proofErr w:type="spellEnd"/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 xml:space="preserve"> 236/22.7g sold as:</w:t>
            </w:r>
          </w:p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   PEG-3350/electrolytes</w:t>
            </w:r>
          </w:p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 xml:space="preserve">   </w:t>
            </w:r>
            <w:proofErr w:type="spellStart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Gavilyte</w:t>
            </w:r>
            <w:proofErr w:type="spellEnd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-G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</w:tr>
      <w:tr w:rsidR="00E00A08" w:rsidRPr="00E00A08" w:rsidTr="00E00A08">
        <w:tc>
          <w:tcPr>
            <w:tcW w:w="892" w:type="dxa"/>
            <w:tcBorders>
              <w:top w:val="nil"/>
              <w:left w:val="single" w:sz="8" w:space="0" w:color="53565A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Calibri" w:eastAsia="Times New Roman" w:hAnsi="Calibri" w:cs="Times New Roman"/>
                <w:color w:val="2222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 xml:space="preserve">Generic </w:t>
            </w:r>
            <w:proofErr w:type="spellStart"/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>Nulytely</w:t>
            </w:r>
            <w:proofErr w:type="spellEnd"/>
            <w:r w:rsidRPr="00E00A08">
              <w:rPr>
                <w:rFonts w:ascii="Arial" w:eastAsia="Times New Roman" w:hAnsi="Arial" w:cs="Arial"/>
                <w:b/>
                <w:bCs/>
                <w:color w:val="53565A"/>
                <w:sz w:val="18"/>
                <w:szCs w:val="18"/>
              </w:rPr>
              <w:t xml:space="preserve"> sold as:</w:t>
            </w:r>
          </w:p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   PEG-3350/</w:t>
            </w:r>
            <w:proofErr w:type="spellStart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NaCl</w:t>
            </w:r>
            <w:proofErr w:type="spellEnd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/</w:t>
            </w:r>
            <w:proofErr w:type="spellStart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NaBicarbonate</w:t>
            </w:r>
            <w:proofErr w:type="spellEnd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/</w:t>
            </w:r>
            <w:proofErr w:type="spellStart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KCl</w:t>
            </w:r>
            <w:proofErr w:type="spellEnd"/>
          </w:p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 xml:space="preserve">   </w:t>
            </w:r>
            <w:proofErr w:type="spellStart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Gavilyte</w:t>
            </w:r>
            <w:proofErr w:type="spellEnd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-N</w:t>
            </w:r>
          </w:p>
          <w:p w:rsidR="00E00A08" w:rsidRPr="00E00A08" w:rsidRDefault="00E00A08" w:rsidP="00E00A08">
            <w:pPr>
              <w:spacing w:after="0" w:line="253" w:lineRule="atLeast"/>
              <w:rPr>
                <w:rFonts w:ascii="Calibri" w:eastAsia="Times New Roman" w:hAnsi="Calibri" w:cs="Times New Roman"/>
                <w:color w:val="222222"/>
              </w:rPr>
            </w:pPr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 xml:space="preserve">   </w:t>
            </w:r>
            <w:proofErr w:type="spellStart"/>
            <w:r w:rsidRPr="00E00A08">
              <w:rPr>
                <w:rFonts w:ascii="Arial" w:eastAsia="Times New Roman" w:hAnsi="Arial" w:cs="Arial"/>
                <w:color w:val="53565A"/>
                <w:sz w:val="18"/>
                <w:szCs w:val="18"/>
              </w:rPr>
              <w:t>Trilyte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3565A"/>
              <w:right w:val="single" w:sz="8" w:space="0" w:color="53565A"/>
            </w:tcBorders>
            <w:shd w:val="clear" w:color="auto" w:fill="FFFFFF"/>
            <w:vAlign w:val="center"/>
            <w:hideMark/>
          </w:tcPr>
          <w:p w:rsidR="00E00A08" w:rsidRPr="00E00A08" w:rsidRDefault="00E00A08" w:rsidP="00E00A0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</w:tr>
    </w:tbl>
    <w:p w:rsidR="00E00A08" w:rsidRPr="00E00A08" w:rsidRDefault="00E00A08" w:rsidP="00E00A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00A08">
        <w:rPr>
          <w:rFonts w:ascii="Arial" w:eastAsia="Times New Roman" w:hAnsi="Arial" w:cs="Arial"/>
          <w:color w:val="53565A"/>
          <w:sz w:val="16"/>
          <w:szCs w:val="16"/>
        </w:rPr>
        <w:t>*State differences may apply.</w:t>
      </w:r>
    </w:p>
    <w:p w:rsidR="00E00A08" w:rsidRPr="00E00A08" w:rsidRDefault="00E00A08" w:rsidP="00E00A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00A0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00A08" w:rsidRPr="00E00A08" w:rsidRDefault="00E00A08" w:rsidP="00E00A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00A08">
        <w:rPr>
          <w:rFonts w:ascii="Arial" w:eastAsia="Times New Roman" w:hAnsi="Arial" w:cs="Arial"/>
          <w:color w:val="222222"/>
          <w:sz w:val="20"/>
          <w:szCs w:val="20"/>
        </w:rPr>
        <w:t>The cost of this new coverage is expected to be low due to less frequent use of this benefit and the lower cost of these over-the-counter and generic medications (laxatives). The United States Preventive Task Force recommends one colonoscopy every 10 years for members at “average risk” of developing colon cancer.</w:t>
      </w:r>
    </w:p>
    <w:p w:rsidR="00E00A08" w:rsidRPr="00E00A08" w:rsidRDefault="00E00A08" w:rsidP="00E00A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00A0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00A08" w:rsidRPr="00E00A08" w:rsidRDefault="00E00A08" w:rsidP="00E00A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00A08">
        <w:rPr>
          <w:rFonts w:ascii="Arial" w:eastAsia="Times New Roman" w:hAnsi="Arial" w:cs="Arial"/>
          <w:color w:val="222222"/>
          <w:sz w:val="20"/>
          <w:szCs w:val="20"/>
        </w:rPr>
        <w:t>As always, members can learn more about their medication coverage by:</w:t>
      </w:r>
    </w:p>
    <w:p w:rsidR="00E00A08" w:rsidRPr="00E00A08" w:rsidRDefault="00E00A08" w:rsidP="00E00A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00A0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00A08" w:rsidRPr="00E00A08" w:rsidRDefault="00E00A08" w:rsidP="00E00A08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22222"/>
          <w:sz w:val="19"/>
          <w:szCs w:val="19"/>
        </w:rPr>
      </w:pPr>
      <w:r w:rsidRPr="00E00A0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E00A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proofErr w:type="gramStart"/>
      <w:r w:rsidRPr="00E00A08">
        <w:rPr>
          <w:rFonts w:ascii="Arial" w:eastAsia="Times New Roman" w:hAnsi="Arial" w:cs="Arial"/>
          <w:color w:val="222222"/>
          <w:sz w:val="20"/>
          <w:szCs w:val="20"/>
        </w:rPr>
        <w:t>Calling</w:t>
      </w:r>
      <w:proofErr w:type="gramEnd"/>
      <w:r w:rsidRPr="00E00A08">
        <w:rPr>
          <w:rFonts w:ascii="Arial" w:eastAsia="Times New Roman" w:hAnsi="Arial" w:cs="Arial"/>
          <w:color w:val="222222"/>
          <w:sz w:val="20"/>
          <w:szCs w:val="20"/>
        </w:rPr>
        <w:t xml:space="preserve"> the pharmacy number on their ID card</w:t>
      </w:r>
    </w:p>
    <w:p w:rsidR="00E00A08" w:rsidRPr="00E00A08" w:rsidRDefault="00E00A08" w:rsidP="00E00A08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22222"/>
          <w:sz w:val="19"/>
          <w:szCs w:val="19"/>
        </w:rPr>
      </w:pPr>
      <w:r w:rsidRPr="00E00A0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E00A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proofErr w:type="gramStart"/>
      <w:r w:rsidRPr="00E00A08">
        <w:rPr>
          <w:rFonts w:ascii="Arial" w:eastAsia="Times New Roman" w:hAnsi="Arial" w:cs="Arial"/>
          <w:color w:val="222222"/>
          <w:sz w:val="20"/>
          <w:szCs w:val="20"/>
        </w:rPr>
        <w:t>Using</w:t>
      </w:r>
      <w:proofErr w:type="gramEnd"/>
      <w:r w:rsidRPr="00E00A08">
        <w:rPr>
          <w:rFonts w:ascii="Arial" w:eastAsia="Times New Roman" w:hAnsi="Arial" w:cs="Arial"/>
          <w:color w:val="222222"/>
          <w:sz w:val="20"/>
          <w:szCs w:val="20"/>
        </w:rPr>
        <w:t xml:space="preserve"> the </w:t>
      </w:r>
      <w:proofErr w:type="spellStart"/>
      <w:r w:rsidRPr="00E00A08">
        <w:rPr>
          <w:rFonts w:ascii="Arial" w:eastAsia="Times New Roman" w:hAnsi="Arial" w:cs="Arial"/>
          <w:color w:val="222222"/>
          <w:sz w:val="20"/>
          <w:szCs w:val="20"/>
        </w:rPr>
        <w:t>OptumRx</w:t>
      </w:r>
      <w:proofErr w:type="spellEnd"/>
      <w:r w:rsidRPr="00E00A08">
        <w:rPr>
          <w:rFonts w:ascii="Arial" w:eastAsia="Times New Roman" w:hAnsi="Arial" w:cs="Arial"/>
          <w:color w:val="222222"/>
          <w:sz w:val="20"/>
          <w:szCs w:val="20"/>
        </w:rPr>
        <w:t xml:space="preserve"> mobile app</w:t>
      </w:r>
    </w:p>
    <w:p w:rsidR="00E00A08" w:rsidRPr="00E00A08" w:rsidRDefault="00E00A08" w:rsidP="00E00A08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22222"/>
          <w:sz w:val="19"/>
          <w:szCs w:val="19"/>
        </w:rPr>
      </w:pPr>
      <w:r w:rsidRPr="00E00A0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E00A0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00A08">
        <w:rPr>
          <w:rFonts w:ascii="Arial" w:eastAsia="Times New Roman" w:hAnsi="Arial" w:cs="Arial"/>
          <w:color w:val="222222"/>
          <w:sz w:val="20"/>
          <w:szCs w:val="20"/>
        </w:rPr>
        <w:t>Logging into </w:t>
      </w:r>
      <w:hyperlink r:id="rId5" w:tgtFrame="_blank" w:history="1">
        <w:r w:rsidRPr="00E00A08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optumrx.com</w:t>
        </w:r>
      </w:hyperlink>
    </w:p>
    <w:p w:rsidR="00E00A08" w:rsidRPr="00E00A08" w:rsidRDefault="00E00A08" w:rsidP="00E00A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00A0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77574" w:rsidRDefault="00E00A08"/>
    <w:sectPr w:rsidR="00D7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08"/>
    <w:rsid w:val="00193B46"/>
    <w:rsid w:val="00287D43"/>
    <w:rsid w:val="00E0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tumr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2016-07-29T19:31:00Z</dcterms:created>
  <dcterms:modified xsi:type="dcterms:W3CDTF">2016-07-29T19:33:00Z</dcterms:modified>
</cp:coreProperties>
</file>