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D4" w:rsidRDefault="00F914A8">
      <w:pPr>
        <w:jc w:val="both"/>
        <w:rPr>
          <w:b/>
          <w:sz w:val="32"/>
          <w:szCs w:val="32"/>
        </w:rPr>
      </w:pPr>
      <w:bookmarkStart w:id="0" w:name="_gjdgxs" w:colFirst="0" w:colLast="0"/>
      <w:bookmarkStart w:id="1" w:name="_GoBack"/>
      <w:bookmarkEnd w:id="0"/>
      <w:bookmarkEnd w:id="1"/>
      <w:r>
        <w:rPr>
          <w:b/>
          <w:sz w:val="32"/>
          <w:szCs w:val="32"/>
        </w:rPr>
        <w:t>Telemedicine Models - Effective 3/1/2020</w:t>
      </w:r>
    </w:p>
    <w:p w:rsidR="00FE5FD4" w:rsidRDefault="00F914A8">
      <w:pPr>
        <w:jc w:val="both"/>
        <w:rPr>
          <w:sz w:val="24"/>
          <w:szCs w:val="24"/>
        </w:rPr>
      </w:pPr>
      <w:r>
        <w:rPr>
          <w:sz w:val="24"/>
          <w:szCs w:val="24"/>
        </w:rPr>
        <w:t xml:space="preserve">With the help of communication technologies, employees and their dependents who are enrolled in the SNC Health Plan can now interface </w:t>
      </w:r>
      <w:r>
        <w:rPr>
          <w:color w:val="000000"/>
          <w:sz w:val="24"/>
          <w:szCs w:val="24"/>
        </w:rPr>
        <w:t xml:space="preserve">with a </w:t>
      </w:r>
      <w:r>
        <w:rPr>
          <w:sz w:val="24"/>
          <w:szCs w:val="24"/>
        </w:rPr>
        <w:t xml:space="preserve">health care provider from the comfort of their own home.  </w:t>
      </w:r>
      <w:r>
        <w:rPr>
          <w:color w:val="222222"/>
          <w:sz w:val="24"/>
          <w:szCs w:val="24"/>
        </w:rPr>
        <w:t xml:space="preserve">Access to virtual care provides employees and family members with a safe and convenient alternative to standard in-office visits.  </w:t>
      </w:r>
    </w:p>
    <w:p w:rsidR="00FE5FD4" w:rsidRDefault="00F914A8">
      <w:pPr>
        <w:spacing w:after="0" w:line="240" w:lineRule="auto"/>
        <w:jc w:val="both"/>
        <w:rPr>
          <w:sz w:val="24"/>
          <w:szCs w:val="24"/>
        </w:rPr>
      </w:pPr>
      <w:r>
        <w:rPr>
          <w:sz w:val="24"/>
          <w:szCs w:val="24"/>
        </w:rPr>
        <w:t xml:space="preserve">St. Norbert College provides access to two models for digital access to providers.  Please see the updated </w:t>
      </w:r>
      <w:hyperlink r:id="rId5">
        <w:r>
          <w:rPr>
            <w:color w:val="1155CC"/>
            <w:sz w:val="24"/>
            <w:szCs w:val="24"/>
            <w:u w:val="single"/>
          </w:rPr>
          <w:t>summary sheet</w:t>
        </w:r>
      </w:hyperlink>
      <w:r>
        <w:rPr>
          <w:sz w:val="24"/>
          <w:szCs w:val="24"/>
        </w:rPr>
        <w:t xml:space="preserve"> with telemedicine.</w:t>
      </w:r>
    </w:p>
    <w:p w:rsidR="00FE5FD4" w:rsidRDefault="00FE5FD4">
      <w:pPr>
        <w:spacing w:after="0" w:line="240" w:lineRule="auto"/>
        <w:jc w:val="both"/>
        <w:rPr>
          <w:sz w:val="24"/>
          <w:szCs w:val="24"/>
        </w:rPr>
      </w:pPr>
    </w:p>
    <w:p w:rsidR="00FE5FD4" w:rsidRDefault="00F914A8">
      <w:pPr>
        <w:jc w:val="both"/>
        <w:rPr>
          <w:b/>
          <w:sz w:val="24"/>
          <w:szCs w:val="24"/>
          <w:u w:val="single"/>
        </w:rPr>
      </w:pPr>
      <w:proofErr w:type="spellStart"/>
      <w:r>
        <w:rPr>
          <w:b/>
          <w:sz w:val="24"/>
          <w:szCs w:val="24"/>
          <w:u w:val="single"/>
        </w:rPr>
        <w:t>Teladoc</w:t>
      </w:r>
      <w:proofErr w:type="spellEnd"/>
      <w:r>
        <w:rPr>
          <w:b/>
          <w:sz w:val="24"/>
          <w:szCs w:val="24"/>
          <w:u w:val="single"/>
        </w:rPr>
        <w:t>:</w:t>
      </w:r>
      <w:r>
        <w:rPr>
          <w:sz w:val="24"/>
          <w:szCs w:val="24"/>
        </w:rPr>
        <w:t xml:space="preserve"> </w:t>
      </w:r>
    </w:p>
    <w:p w:rsidR="00FE5FD4" w:rsidRDefault="00F914A8">
      <w:pPr>
        <w:jc w:val="both"/>
        <w:rPr>
          <w:sz w:val="24"/>
          <w:szCs w:val="24"/>
        </w:rPr>
      </w:pPr>
      <w:proofErr w:type="spellStart"/>
      <w:r>
        <w:rPr>
          <w:sz w:val="24"/>
          <w:szCs w:val="24"/>
        </w:rPr>
        <w:t>Teladoc</w:t>
      </w:r>
      <w:proofErr w:type="spellEnd"/>
      <w:r>
        <w:rPr>
          <w:sz w:val="24"/>
          <w:szCs w:val="24"/>
        </w:rPr>
        <w:t xml:space="preserve"> provides access to a national network of U.S. board -certified doctors 24/7/365.  Members can be treated for minor medi</w:t>
      </w:r>
      <w:r>
        <w:rPr>
          <w:sz w:val="24"/>
          <w:szCs w:val="24"/>
        </w:rPr>
        <w:t xml:space="preserve">cal conditions such as; Cold &amp; flu symptoms, Allergies, Pink Eye, Respiratory infection, Sinus problems, Urinary Tract Infections, Skin problems and more.  </w:t>
      </w:r>
    </w:p>
    <w:p w:rsidR="00FE5FD4" w:rsidRDefault="00F914A8">
      <w:pPr>
        <w:jc w:val="both"/>
        <w:rPr>
          <w:sz w:val="24"/>
          <w:szCs w:val="24"/>
        </w:rPr>
      </w:pPr>
      <w:proofErr w:type="spellStart"/>
      <w:r>
        <w:rPr>
          <w:sz w:val="24"/>
          <w:szCs w:val="24"/>
        </w:rPr>
        <w:t>Teladoc</w:t>
      </w:r>
      <w:proofErr w:type="spellEnd"/>
      <w:r>
        <w:rPr>
          <w:sz w:val="24"/>
          <w:szCs w:val="24"/>
        </w:rPr>
        <w:t xml:space="preserve"> may be used when: </w:t>
      </w:r>
      <w:r>
        <w:rPr>
          <w:noProof/>
        </w:rPr>
        <w:drawing>
          <wp:anchor distT="0" distB="0" distL="114300" distR="114300" simplePos="0" relativeHeight="251658240" behindDoc="0" locked="0" layoutInCell="1" hidden="0" allowOverlap="1">
            <wp:simplePos x="0" y="0"/>
            <wp:positionH relativeFrom="column">
              <wp:posOffset>4762500</wp:posOffset>
            </wp:positionH>
            <wp:positionV relativeFrom="paragraph">
              <wp:posOffset>9525</wp:posOffset>
            </wp:positionV>
            <wp:extent cx="1192530" cy="8661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92530" cy="866140"/>
                    </a:xfrm>
                    <a:prstGeom prst="rect">
                      <a:avLst/>
                    </a:prstGeom>
                    <a:ln/>
                  </pic:spPr>
                </pic:pic>
              </a:graphicData>
            </a:graphic>
          </wp:anchor>
        </w:drawing>
      </w:r>
    </w:p>
    <w:p w:rsidR="00FE5FD4" w:rsidRDefault="00F914A8">
      <w:pPr>
        <w:numPr>
          <w:ilvl w:val="0"/>
          <w:numId w:val="1"/>
        </w:numPr>
        <w:spacing w:after="0" w:line="240" w:lineRule="auto"/>
        <w:ind w:left="360"/>
        <w:jc w:val="both"/>
        <w:rPr>
          <w:sz w:val="24"/>
          <w:szCs w:val="24"/>
        </w:rPr>
      </w:pPr>
      <w:r>
        <w:rPr>
          <w:sz w:val="24"/>
          <w:szCs w:val="24"/>
        </w:rPr>
        <w:t>Immediate care is needed.</w:t>
      </w:r>
    </w:p>
    <w:p w:rsidR="00FE5FD4" w:rsidRDefault="00F914A8">
      <w:pPr>
        <w:numPr>
          <w:ilvl w:val="0"/>
          <w:numId w:val="1"/>
        </w:numPr>
        <w:spacing w:after="0" w:line="240" w:lineRule="auto"/>
        <w:ind w:left="360"/>
        <w:jc w:val="both"/>
        <w:rPr>
          <w:sz w:val="24"/>
          <w:szCs w:val="24"/>
        </w:rPr>
      </w:pPr>
      <w:r>
        <w:rPr>
          <w:sz w:val="24"/>
          <w:szCs w:val="24"/>
        </w:rPr>
        <w:t xml:space="preserve">Considering the ER or Urgent Care center for </w:t>
      </w:r>
      <w:r>
        <w:rPr>
          <w:sz w:val="24"/>
          <w:szCs w:val="24"/>
        </w:rPr>
        <w:t>non-Emergency issues.</w:t>
      </w:r>
    </w:p>
    <w:p w:rsidR="00FE5FD4" w:rsidRDefault="00F914A8">
      <w:pPr>
        <w:numPr>
          <w:ilvl w:val="0"/>
          <w:numId w:val="1"/>
        </w:numPr>
        <w:spacing w:after="0"/>
        <w:ind w:left="360"/>
        <w:jc w:val="both"/>
        <w:rPr>
          <w:sz w:val="24"/>
          <w:szCs w:val="24"/>
        </w:rPr>
      </w:pPr>
      <w:r>
        <w:rPr>
          <w:sz w:val="24"/>
          <w:szCs w:val="24"/>
        </w:rPr>
        <w:t>You are on vacation or on a business trip.</w:t>
      </w:r>
      <w:r>
        <w:rPr>
          <w:sz w:val="24"/>
          <w:szCs w:val="24"/>
        </w:rPr>
        <w:br/>
      </w:r>
    </w:p>
    <w:p w:rsidR="00FE5FD4" w:rsidRDefault="00F914A8">
      <w:pPr>
        <w:jc w:val="both"/>
        <w:rPr>
          <w:sz w:val="24"/>
          <w:szCs w:val="24"/>
        </w:rPr>
      </w:pPr>
      <w:r>
        <w:rPr>
          <w:sz w:val="24"/>
          <w:szCs w:val="24"/>
        </w:rPr>
        <w:t xml:space="preserve">Employees must be enrolled in St. Norbert’s </w:t>
      </w:r>
      <w:r>
        <w:rPr>
          <w:color w:val="000000"/>
          <w:sz w:val="24"/>
          <w:szCs w:val="24"/>
        </w:rPr>
        <w:t xml:space="preserve">UMR Health </w:t>
      </w:r>
      <w:r>
        <w:rPr>
          <w:sz w:val="24"/>
          <w:szCs w:val="24"/>
        </w:rPr>
        <w:t xml:space="preserve">Plan to access coverage through </w:t>
      </w:r>
      <w:proofErr w:type="spellStart"/>
      <w:r>
        <w:rPr>
          <w:sz w:val="24"/>
          <w:szCs w:val="24"/>
        </w:rPr>
        <w:t>Teladoc</w:t>
      </w:r>
      <w:proofErr w:type="spellEnd"/>
      <w:r>
        <w:rPr>
          <w:sz w:val="24"/>
          <w:szCs w:val="24"/>
        </w:rPr>
        <w:t xml:space="preserve">. Members may log-in to </w:t>
      </w:r>
      <w:hyperlink r:id="rId7">
        <w:r>
          <w:rPr>
            <w:color w:val="0000FF"/>
            <w:sz w:val="24"/>
            <w:szCs w:val="24"/>
            <w:u w:val="single"/>
          </w:rPr>
          <w:t>www.Teladoc.com</w:t>
        </w:r>
      </w:hyperlink>
      <w:r>
        <w:rPr>
          <w:sz w:val="24"/>
          <w:szCs w:val="24"/>
        </w:rPr>
        <w:t xml:space="preserve">  or call 1.800</w:t>
      </w:r>
      <w:r>
        <w:rPr>
          <w:sz w:val="24"/>
          <w:szCs w:val="24"/>
        </w:rPr>
        <w:t xml:space="preserve">.835.2362 to start a virtual visit.  </w:t>
      </w:r>
    </w:p>
    <w:p w:rsidR="00FE5FD4" w:rsidRDefault="00F914A8">
      <w:pPr>
        <w:jc w:val="both"/>
        <w:rPr>
          <w:sz w:val="24"/>
          <w:szCs w:val="24"/>
        </w:rPr>
      </w:pPr>
      <w:proofErr w:type="spellStart"/>
      <w:r>
        <w:rPr>
          <w:sz w:val="24"/>
          <w:szCs w:val="24"/>
        </w:rPr>
        <w:t>Teladoc</w:t>
      </w:r>
      <w:proofErr w:type="spellEnd"/>
      <w:r>
        <w:rPr>
          <w:sz w:val="24"/>
          <w:szCs w:val="24"/>
        </w:rPr>
        <w:t xml:space="preserve"> was introduced to St. Norbert’s Health Plan on 1/1/2019.  </w:t>
      </w:r>
      <w:proofErr w:type="spellStart"/>
      <w:r>
        <w:rPr>
          <w:sz w:val="24"/>
          <w:szCs w:val="24"/>
        </w:rPr>
        <w:t>Teladoc</w:t>
      </w:r>
      <w:proofErr w:type="spellEnd"/>
      <w:r>
        <w:rPr>
          <w:sz w:val="24"/>
          <w:szCs w:val="24"/>
        </w:rPr>
        <w:t xml:space="preserve"> is fully integrated with your medical plan and member responsibility, as noted below, is applied to your annual </w:t>
      </w:r>
      <w:proofErr w:type="gramStart"/>
      <w:r>
        <w:rPr>
          <w:sz w:val="24"/>
          <w:szCs w:val="24"/>
        </w:rPr>
        <w:t>deductible</w:t>
      </w:r>
      <w:proofErr w:type="gramEnd"/>
      <w:r>
        <w:rPr>
          <w:sz w:val="24"/>
          <w:szCs w:val="24"/>
        </w:rPr>
        <w:t xml:space="preserve"> and out-of-pocket acc</w:t>
      </w:r>
      <w:r>
        <w:rPr>
          <w:sz w:val="24"/>
          <w:szCs w:val="24"/>
        </w:rPr>
        <w:t>umulators.  Member responsibility is due at time of service.</w:t>
      </w:r>
    </w:p>
    <w:p w:rsidR="00FE5FD4" w:rsidRDefault="00F914A8">
      <w:pPr>
        <w:rPr>
          <w:i/>
          <w:sz w:val="24"/>
          <w:szCs w:val="24"/>
        </w:rPr>
      </w:pPr>
      <w:r>
        <w:rPr>
          <w:i/>
          <w:sz w:val="24"/>
          <w:szCs w:val="24"/>
        </w:rPr>
        <w:t>Member Responsibility:</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500"/>
        <w:gridCol w:w="3096"/>
      </w:tblGrid>
      <w:tr w:rsidR="00FE5FD4">
        <w:trPr>
          <w:trHeight w:val="353"/>
        </w:trPr>
        <w:tc>
          <w:tcPr>
            <w:tcW w:w="1980" w:type="dxa"/>
            <w:shd w:val="clear" w:color="auto" w:fill="FBD5B5"/>
            <w:vAlign w:val="center"/>
          </w:tcPr>
          <w:p w:rsidR="00FE5FD4" w:rsidRDefault="00F914A8">
            <w:pPr>
              <w:rPr>
                <w:sz w:val="24"/>
                <w:szCs w:val="24"/>
              </w:rPr>
            </w:pPr>
            <w:r>
              <w:rPr>
                <w:sz w:val="24"/>
                <w:szCs w:val="24"/>
              </w:rPr>
              <w:t>Health Plan</w:t>
            </w:r>
          </w:p>
        </w:tc>
        <w:tc>
          <w:tcPr>
            <w:tcW w:w="4500" w:type="dxa"/>
            <w:shd w:val="clear" w:color="auto" w:fill="FBD5B5"/>
            <w:vAlign w:val="center"/>
          </w:tcPr>
          <w:p w:rsidR="00FE5FD4" w:rsidRDefault="00F914A8">
            <w:pPr>
              <w:jc w:val="center"/>
              <w:rPr>
                <w:sz w:val="24"/>
                <w:szCs w:val="24"/>
              </w:rPr>
            </w:pPr>
            <w:r>
              <w:rPr>
                <w:sz w:val="24"/>
                <w:szCs w:val="24"/>
              </w:rPr>
              <w:t>In-Network</w:t>
            </w:r>
          </w:p>
        </w:tc>
        <w:tc>
          <w:tcPr>
            <w:tcW w:w="3096" w:type="dxa"/>
            <w:shd w:val="clear" w:color="auto" w:fill="FBD5B5"/>
            <w:vAlign w:val="center"/>
          </w:tcPr>
          <w:p w:rsidR="00FE5FD4" w:rsidRDefault="00F914A8">
            <w:pPr>
              <w:jc w:val="center"/>
              <w:rPr>
                <w:sz w:val="24"/>
                <w:szCs w:val="24"/>
              </w:rPr>
            </w:pPr>
            <w:r>
              <w:rPr>
                <w:sz w:val="24"/>
                <w:szCs w:val="24"/>
              </w:rPr>
              <w:t>Out-of-Network</w:t>
            </w:r>
          </w:p>
        </w:tc>
      </w:tr>
      <w:tr w:rsidR="00FE5FD4">
        <w:trPr>
          <w:trHeight w:val="353"/>
        </w:trPr>
        <w:tc>
          <w:tcPr>
            <w:tcW w:w="1980" w:type="dxa"/>
            <w:vAlign w:val="center"/>
          </w:tcPr>
          <w:p w:rsidR="00FE5FD4" w:rsidRDefault="00F914A8">
            <w:pPr>
              <w:rPr>
                <w:sz w:val="24"/>
                <w:szCs w:val="24"/>
              </w:rPr>
            </w:pPr>
            <w:r>
              <w:rPr>
                <w:sz w:val="24"/>
                <w:szCs w:val="24"/>
              </w:rPr>
              <w:t>PPO Plan</w:t>
            </w:r>
          </w:p>
        </w:tc>
        <w:tc>
          <w:tcPr>
            <w:tcW w:w="4500" w:type="dxa"/>
            <w:vAlign w:val="center"/>
          </w:tcPr>
          <w:p w:rsidR="00FE5FD4" w:rsidRDefault="00F914A8">
            <w:pPr>
              <w:jc w:val="center"/>
              <w:rPr>
                <w:sz w:val="24"/>
                <w:szCs w:val="24"/>
              </w:rPr>
            </w:pPr>
            <w:r>
              <w:rPr>
                <w:sz w:val="24"/>
                <w:szCs w:val="24"/>
              </w:rPr>
              <w:t>$20 copay; Deductible &amp; Coinsurance waived</w:t>
            </w:r>
          </w:p>
        </w:tc>
        <w:tc>
          <w:tcPr>
            <w:tcW w:w="3096" w:type="dxa"/>
            <w:vAlign w:val="center"/>
          </w:tcPr>
          <w:p w:rsidR="00FE5FD4" w:rsidRDefault="00F914A8">
            <w:pPr>
              <w:jc w:val="center"/>
              <w:rPr>
                <w:sz w:val="24"/>
                <w:szCs w:val="24"/>
              </w:rPr>
            </w:pPr>
            <w:r>
              <w:rPr>
                <w:sz w:val="24"/>
                <w:szCs w:val="24"/>
              </w:rPr>
              <w:t>n/a</w:t>
            </w:r>
          </w:p>
        </w:tc>
      </w:tr>
      <w:tr w:rsidR="00FE5FD4">
        <w:trPr>
          <w:trHeight w:val="353"/>
        </w:trPr>
        <w:tc>
          <w:tcPr>
            <w:tcW w:w="1980" w:type="dxa"/>
            <w:vAlign w:val="center"/>
          </w:tcPr>
          <w:p w:rsidR="00FE5FD4" w:rsidRDefault="00F914A8">
            <w:pPr>
              <w:rPr>
                <w:sz w:val="24"/>
                <w:szCs w:val="24"/>
              </w:rPr>
            </w:pPr>
            <w:r>
              <w:rPr>
                <w:sz w:val="24"/>
                <w:szCs w:val="24"/>
              </w:rPr>
              <w:t>HDHP (HSA Plan)</w:t>
            </w:r>
          </w:p>
        </w:tc>
        <w:tc>
          <w:tcPr>
            <w:tcW w:w="4500" w:type="dxa"/>
            <w:vAlign w:val="center"/>
          </w:tcPr>
          <w:p w:rsidR="00FE5FD4" w:rsidRDefault="00F914A8">
            <w:pPr>
              <w:jc w:val="center"/>
              <w:rPr>
                <w:sz w:val="24"/>
                <w:szCs w:val="24"/>
              </w:rPr>
            </w:pPr>
            <w:r>
              <w:rPr>
                <w:sz w:val="24"/>
                <w:szCs w:val="24"/>
              </w:rPr>
              <w:t>$45 Fee; applied to Deductible and OOP Limits</w:t>
            </w:r>
          </w:p>
        </w:tc>
        <w:tc>
          <w:tcPr>
            <w:tcW w:w="3096" w:type="dxa"/>
            <w:vAlign w:val="center"/>
          </w:tcPr>
          <w:p w:rsidR="00FE5FD4" w:rsidRDefault="00F914A8">
            <w:pPr>
              <w:jc w:val="center"/>
              <w:rPr>
                <w:sz w:val="24"/>
                <w:szCs w:val="24"/>
              </w:rPr>
            </w:pPr>
            <w:r>
              <w:rPr>
                <w:sz w:val="24"/>
                <w:szCs w:val="24"/>
              </w:rPr>
              <w:t>n/a</w:t>
            </w:r>
          </w:p>
        </w:tc>
      </w:tr>
    </w:tbl>
    <w:p w:rsidR="00FE5FD4" w:rsidRDefault="00FE5FD4">
      <w:pPr>
        <w:spacing w:after="0" w:line="240" w:lineRule="auto"/>
        <w:rPr>
          <w:b/>
          <w:sz w:val="24"/>
          <w:szCs w:val="24"/>
        </w:rPr>
      </w:pPr>
    </w:p>
    <w:p w:rsidR="00FE5FD4" w:rsidRDefault="00FE5FD4">
      <w:pPr>
        <w:spacing w:after="0" w:line="240" w:lineRule="auto"/>
        <w:rPr>
          <w:b/>
          <w:sz w:val="24"/>
          <w:szCs w:val="24"/>
        </w:rPr>
      </w:pPr>
    </w:p>
    <w:p w:rsidR="00FE5FD4" w:rsidRDefault="00FE5FD4">
      <w:pPr>
        <w:jc w:val="both"/>
        <w:rPr>
          <w:b/>
          <w:sz w:val="24"/>
          <w:szCs w:val="24"/>
          <w:u w:val="single"/>
        </w:rPr>
      </w:pPr>
    </w:p>
    <w:p w:rsidR="00FE5FD4" w:rsidRDefault="00FE5FD4">
      <w:pPr>
        <w:jc w:val="both"/>
        <w:rPr>
          <w:b/>
          <w:sz w:val="24"/>
          <w:szCs w:val="24"/>
          <w:u w:val="single"/>
        </w:rPr>
      </w:pPr>
    </w:p>
    <w:p w:rsidR="00FE5FD4" w:rsidRDefault="00F914A8">
      <w:pPr>
        <w:jc w:val="both"/>
        <w:rPr>
          <w:b/>
          <w:sz w:val="24"/>
          <w:szCs w:val="24"/>
          <w:u w:val="single"/>
        </w:rPr>
      </w:pPr>
      <w:r>
        <w:rPr>
          <w:b/>
          <w:sz w:val="24"/>
          <w:szCs w:val="24"/>
          <w:u w:val="single"/>
        </w:rPr>
        <w:lastRenderedPageBreak/>
        <w:t>Telemedicine with Local Providers / Health Systems:</w:t>
      </w:r>
    </w:p>
    <w:p w:rsidR="00FE5FD4" w:rsidRDefault="00F914A8">
      <w:pPr>
        <w:shd w:val="clear" w:color="auto" w:fill="FFFFFF"/>
        <w:jc w:val="both"/>
        <w:rPr>
          <w:color w:val="222222"/>
          <w:sz w:val="24"/>
          <w:szCs w:val="24"/>
        </w:rPr>
      </w:pPr>
      <w:r>
        <w:rPr>
          <w:color w:val="222222"/>
          <w:sz w:val="24"/>
          <w:szCs w:val="24"/>
        </w:rPr>
        <w:t xml:space="preserve">Effective 3/1/2020, St. Norbert College has expanded </w:t>
      </w:r>
      <w:r>
        <w:rPr>
          <w:color w:val="000000"/>
          <w:sz w:val="24"/>
          <w:szCs w:val="24"/>
        </w:rPr>
        <w:t xml:space="preserve">their coverage </w:t>
      </w:r>
      <w:r>
        <w:rPr>
          <w:color w:val="222222"/>
          <w:sz w:val="24"/>
          <w:szCs w:val="24"/>
        </w:rPr>
        <w:t xml:space="preserve">to include telemedicine office visits. Telemedicine is the use of digital information and communication technologies, such as computers </w:t>
      </w:r>
      <w:r>
        <w:rPr>
          <w:color w:val="222222"/>
          <w:sz w:val="24"/>
          <w:szCs w:val="24"/>
        </w:rPr>
        <w:t>and mobile devices, to access health care services and manage your healthcare.  Most often, these are services provided by your primary care physician, a specialist or your behavioral health provider.   These types of providers are utilizing Telemedicine a</w:t>
      </w:r>
      <w:r>
        <w:rPr>
          <w:color w:val="222222"/>
          <w:sz w:val="24"/>
          <w:szCs w:val="24"/>
        </w:rPr>
        <w:t>s an alternative method to treat their patients in lieu of face to face office visits due to the recent COVID-19 pandemic.</w:t>
      </w:r>
    </w:p>
    <w:p w:rsidR="00FE5FD4" w:rsidRDefault="00F914A8">
      <w:pPr>
        <w:shd w:val="clear" w:color="auto" w:fill="FFFFFF"/>
        <w:rPr>
          <w:i/>
          <w:color w:val="222222"/>
          <w:sz w:val="24"/>
          <w:szCs w:val="24"/>
        </w:rPr>
      </w:pPr>
      <w:r>
        <w:rPr>
          <w:i/>
          <w:color w:val="222222"/>
          <w:sz w:val="24"/>
          <w:szCs w:val="24"/>
        </w:rPr>
        <w:t>Member Responsibility:</w:t>
      </w:r>
    </w:p>
    <w:tbl>
      <w:tblPr>
        <w:tblStyle w:val="a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744"/>
        <w:gridCol w:w="3744"/>
      </w:tblGrid>
      <w:tr w:rsidR="00FE5FD4">
        <w:trPr>
          <w:trHeight w:val="336"/>
        </w:trPr>
        <w:tc>
          <w:tcPr>
            <w:tcW w:w="1980" w:type="dxa"/>
            <w:shd w:val="clear" w:color="auto" w:fill="FBD5B5"/>
            <w:vAlign w:val="center"/>
          </w:tcPr>
          <w:p w:rsidR="00FE5FD4" w:rsidRDefault="00F914A8">
            <w:pPr>
              <w:rPr>
                <w:sz w:val="24"/>
                <w:szCs w:val="24"/>
              </w:rPr>
            </w:pPr>
            <w:r>
              <w:rPr>
                <w:sz w:val="24"/>
                <w:szCs w:val="24"/>
              </w:rPr>
              <w:t>Health Plan</w:t>
            </w:r>
          </w:p>
        </w:tc>
        <w:tc>
          <w:tcPr>
            <w:tcW w:w="3744" w:type="dxa"/>
            <w:shd w:val="clear" w:color="auto" w:fill="FBD5B5"/>
            <w:vAlign w:val="center"/>
          </w:tcPr>
          <w:p w:rsidR="00FE5FD4" w:rsidRDefault="00F914A8">
            <w:pPr>
              <w:jc w:val="center"/>
              <w:rPr>
                <w:sz w:val="24"/>
                <w:szCs w:val="24"/>
              </w:rPr>
            </w:pPr>
            <w:r>
              <w:rPr>
                <w:sz w:val="24"/>
                <w:szCs w:val="24"/>
              </w:rPr>
              <w:t>In-Network</w:t>
            </w:r>
          </w:p>
        </w:tc>
        <w:tc>
          <w:tcPr>
            <w:tcW w:w="3744" w:type="dxa"/>
            <w:shd w:val="clear" w:color="auto" w:fill="FBD5B5"/>
            <w:vAlign w:val="center"/>
          </w:tcPr>
          <w:p w:rsidR="00FE5FD4" w:rsidRDefault="00F914A8">
            <w:pPr>
              <w:jc w:val="center"/>
              <w:rPr>
                <w:sz w:val="24"/>
                <w:szCs w:val="24"/>
              </w:rPr>
            </w:pPr>
            <w:r>
              <w:rPr>
                <w:sz w:val="24"/>
                <w:szCs w:val="24"/>
              </w:rPr>
              <w:t>Out-of-Network</w:t>
            </w:r>
          </w:p>
        </w:tc>
      </w:tr>
      <w:tr w:rsidR="00FE5FD4">
        <w:trPr>
          <w:trHeight w:val="336"/>
        </w:trPr>
        <w:tc>
          <w:tcPr>
            <w:tcW w:w="1980" w:type="dxa"/>
            <w:vAlign w:val="center"/>
          </w:tcPr>
          <w:p w:rsidR="00FE5FD4" w:rsidRDefault="00F914A8">
            <w:pPr>
              <w:rPr>
                <w:sz w:val="24"/>
                <w:szCs w:val="24"/>
              </w:rPr>
            </w:pPr>
            <w:r>
              <w:rPr>
                <w:sz w:val="24"/>
                <w:szCs w:val="24"/>
              </w:rPr>
              <w:t>PPO Plan</w:t>
            </w:r>
          </w:p>
        </w:tc>
        <w:tc>
          <w:tcPr>
            <w:tcW w:w="3744" w:type="dxa"/>
            <w:vAlign w:val="center"/>
          </w:tcPr>
          <w:p w:rsidR="00FE5FD4" w:rsidRDefault="00F914A8">
            <w:pPr>
              <w:jc w:val="center"/>
              <w:rPr>
                <w:sz w:val="24"/>
                <w:szCs w:val="24"/>
              </w:rPr>
            </w:pPr>
            <w:r>
              <w:rPr>
                <w:sz w:val="24"/>
                <w:szCs w:val="24"/>
              </w:rPr>
              <w:t>$20 copay;  balance subject to Deductible, 80% Coinsurance</w:t>
            </w:r>
          </w:p>
        </w:tc>
        <w:tc>
          <w:tcPr>
            <w:tcW w:w="3744" w:type="dxa"/>
            <w:vAlign w:val="center"/>
          </w:tcPr>
          <w:p w:rsidR="00FE5FD4" w:rsidRDefault="00F914A8">
            <w:pPr>
              <w:jc w:val="center"/>
              <w:rPr>
                <w:sz w:val="24"/>
                <w:szCs w:val="24"/>
              </w:rPr>
            </w:pPr>
            <w:r>
              <w:rPr>
                <w:sz w:val="24"/>
                <w:szCs w:val="24"/>
              </w:rPr>
              <w:t>$20 copay;  balance subject to Deductible, 60% Coinsurance</w:t>
            </w:r>
          </w:p>
        </w:tc>
      </w:tr>
      <w:tr w:rsidR="00FE5FD4">
        <w:trPr>
          <w:trHeight w:val="476"/>
        </w:trPr>
        <w:tc>
          <w:tcPr>
            <w:tcW w:w="1980" w:type="dxa"/>
            <w:vAlign w:val="center"/>
          </w:tcPr>
          <w:p w:rsidR="00FE5FD4" w:rsidRDefault="00F914A8">
            <w:pPr>
              <w:rPr>
                <w:sz w:val="24"/>
                <w:szCs w:val="24"/>
              </w:rPr>
            </w:pPr>
            <w:r>
              <w:rPr>
                <w:sz w:val="24"/>
                <w:szCs w:val="24"/>
              </w:rPr>
              <w:t>HDHP (HSA Plan)</w:t>
            </w:r>
          </w:p>
        </w:tc>
        <w:tc>
          <w:tcPr>
            <w:tcW w:w="3744" w:type="dxa"/>
            <w:vAlign w:val="center"/>
          </w:tcPr>
          <w:p w:rsidR="00FE5FD4" w:rsidRDefault="00F914A8">
            <w:pPr>
              <w:jc w:val="center"/>
              <w:rPr>
                <w:sz w:val="24"/>
                <w:szCs w:val="24"/>
              </w:rPr>
            </w:pPr>
            <w:r>
              <w:rPr>
                <w:sz w:val="24"/>
                <w:szCs w:val="24"/>
              </w:rPr>
              <w:t>Deductible, 90% Insurance</w:t>
            </w:r>
          </w:p>
        </w:tc>
        <w:tc>
          <w:tcPr>
            <w:tcW w:w="3744" w:type="dxa"/>
            <w:vAlign w:val="center"/>
          </w:tcPr>
          <w:p w:rsidR="00FE5FD4" w:rsidRDefault="00F914A8">
            <w:pPr>
              <w:jc w:val="center"/>
              <w:rPr>
                <w:sz w:val="24"/>
                <w:szCs w:val="24"/>
              </w:rPr>
            </w:pPr>
            <w:r>
              <w:rPr>
                <w:sz w:val="24"/>
                <w:szCs w:val="24"/>
              </w:rPr>
              <w:t>Deductible, 70% Insurance</w:t>
            </w:r>
          </w:p>
        </w:tc>
      </w:tr>
    </w:tbl>
    <w:p w:rsidR="00FE5FD4" w:rsidRDefault="00FE5FD4">
      <w:pPr>
        <w:shd w:val="clear" w:color="auto" w:fill="FFFFFF"/>
        <w:jc w:val="both"/>
        <w:rPr>
          <w:color w:val="222222"/>
          <w:sz w:val="24"/>
          <w:szCs w:val="24"/>
        </w:rPr>
      </w:pPr>
    </w:p>
    <w:p w:rsidR="00FE5FD4" w:rsidRDefault="00F914A8">
      <w:pPr>
        <w:shd w:val="clear" w:color="auto" w:fill="FFFFFF"/>
        <w:jc w:val="both"/>
        <w:rPr>
          <w:color w:val="222222"/>
          <w:sz w:val="24"/>
          <w:szCs w:val="24"/>
        </w:rPr>
      </w:pPr>
      <w:r>
        <w:rPr>
          <w:color w:val="222222"/>
          <w:sz w:val="24"/>
          <w:szCs w:val="24"/>
        </w:rPr>
        <w:t xml:space="preserve">Although most providers will bill UMR for their services, please keep in mind that some may not.  Instead, they will provide an invoice to be submitted by the member (you) to UMR for processing.   See </w:t>
      </w:r>
      <w:hyperlink r:id="rId8">
        <w:r>
          <w:rPr>
            <w:color w:val="1155CC"/>
            <w:sz w:val="24"/>
            <w:szCs w:val="24"/>
            <w:u w:val="single"/>
          </w:rPr>
          <w:t>claim form to submit to UMR</w:t>
        </w:r>
      </w:hyperlink>
      <w:r>
        <w:rPr>
          <w:color w:val="222222"/>
          <w:sz w:val="24"/>
          <w:szCs w:val="24"/>
        </w:rPr>
        <w:t>.  Once submitted, UMR will apply the fee to the member’s annual deductible and out-of-pocket accumulators.  If your annual deductible or out-of-pocket has been met, UMR will reimbur</w:t>
      </w:r>
      <w:r>
        <w:rPr>
          <w:color w:val="222222"/>
          <w:sz w:val="24"/>
          <w:szCs w:val="24"/>
        </w:rPr>
        <w:t>se the member according to their health plan election.</w:t>
      </w:r>
    </w:p>
    <w:p w:rsidR="00FE5FD4" w:rsidRDefault="00F914A8">
      <w:pPr>
        <w:shd w:val="clear" w:color="auto" w:fill="FFFFFF"/>
        <w:jc w:val="both"/>
        <w:rPr>
          <w:color w:val="222222"/>
          <w:sz w:val="24"/>
          <w:szCs w:val="24"/>
        </w:rPr>
      </w:pPr>
      <w:r>
        <w:rPr>
          <w:color w:val="222222"/>
          <w:sz w:val="24"/>
          <w:szCs w:val="24"/>
        </w:rPr>
        <w:t xml:space="preserve">Please contact Jesse Albers with any questions at </w:t>
      </w:r>
      <w:hyperlink r:id="rId9">
        <w:r>
          <w:rPr>
            <w:color w:val="1155CC"/>
            <w:sz w:val="24"/>
            <w:szCs w:val="24"/>
            <w:u w:val="single"/>
          </w:rPr>
          <w:t>jesse.albers@snc.edu</w:t>
        </w:r>
      </w:hyperlink>
      <w:r>
        <w:rPr>
          <w:color w:val="222222"/>
          <w:sz w:val="24"/>
          <w:szCs w:val="24"/>
        </w:rPr>
        <w:t xml:space="preserve"> or 403-3982.</w:t>
      </w:r>
    </w:p>
    <w:p w:rsidR="00FE5FD4" w:rsidRDefault="00FE5FD4">
      <w:pPr>
        <w:shd w:val="clear" w:color="auto" w:fill="FFFFFF"/>
        <w:rPr>
          <w:color w:val="222222"/>
        </w:rPr>
      </w:pPr>
    </w:p>
    <w:p w:rsidR="00FE5FD4" w:rsidRDefault="00FE5FD4">
      <w:pPr>
        <w:shd w:val="clear" w:color="auto" w:fill="FFFFFF"/>
        <w:rPr>
          <w:color w:val="222222"/>
        </w:rPr>
      </w:pPr>
    </w:p>
    <w:p w:rsidR="00FE5FD4" w:rsidRDefault="00FE5FD4"/>
    <w:p w:rsidR="00FE5FD4" w:rsidRDefault="00FE5FD4">
      <w:pPr>
        <w:sectPr w:rsidR="00FE5FD4">
          <w:pgSz w:w="12240" w:h="15840"/>
          <w:pgMar w:top="1440" w:right="1440" w:bottom="1440" w:left="1440" w:header="720" w:footer="720" w:gutter="0"/>
          <w:pgNumType w:start="1"/>
          <w:cols w:space="720" w:equalWidth="0">
            <w:col w:w="9360"/>
          </w:cols>
        </w:sectPr>
      </w:pPr>
    </w:p>
    <w:p w:rsidR="00FE5FD4" w:rsidRDefault="00FE5FD4"/>
    <w:sectPr w:rsidR="00FE5FD4">
      <w:type w:val="continuous"/>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6974"/>
    <w:multiLevelType w:val="multilevel"/>
    <w:tmpl w:val="BDA86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D4"/>
    <w:rsid w:val="00F914A8"/>
    <w:rsid w:val="00FE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7302A-6F2E-42B9-A5D4-239786ED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0xn-SE2vdJbBjDOzoqhksromteBqnfaj/view?usp=sharing" TargetMode="External"/><Relationship Id="rId3" Type="http://schemas.openxmlformats.org/officeDocument/2006/relationships/settings" Target="settings.xml"/><Relationship Id="rId7" Type="http://schemas.openxmlformats.org/officeDocument/2006/relationships/hyperlink" Target="http://www.telad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drive.google.com/file/d/111IS9G44N8xP2s_zkzboJkMQZ5Ap2Gah/view?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sse.albers@s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Albers</dc:creator>
  <cp:lastModifiedBy>Jesse Albers</cp:lastModifiedBy>
  <cp:revision>2</cp:revision>
  <dcterms:created xsi:type="dcterms:W3CDTF">2020-07-30T19:51:00Z</dcterms:created>
  <dcterms:modified xsi:type="dcterms:W3CDTF">2020-07-30T19:51:00Z</dcterms:modified>
</cp:coreProperties>
</file>