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0B74" w14:textId="77777777" w:rsidR="00230E9E" w:rsidRPr="00C10A86" w:rsidRDefault="00230E9E" w:rsidP="00230E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4"/>
          <w:szCs w:val="24"/>
        </w:rPr>
      </w:pPr>
      <w:bookmarkStart w:id="0" w:name="_GoBack"/>
      <w:bookmarkEnd w:id="0"/>
      <w:r w:rsidRPr="00AC51AF">
        <w:rPr>
          <w:b/>
          <w:bCs/>
          <w:noProof/>
          <w:sz w:val="24"/>
          <w:szCs w:val="24"/>
        </w:rPr>
        <w:drawing>
          <wp:anchor distT="0" distB="0" distL="114300" distR="114300" simplePos="0" relativeHeight="251659264" behindDoc="1" locked="0" layoutInCell="1" allowOverlap="1" wp14:anchorId="1828A140" wp14:editId="69BEDAAE">
            <wp:simplePos x="0" y="0"/>
            <wp:positionH relativeFrom="column">
              <wp:posOffset>3962400</wp:posOffset>
            </wp:positionH>
            <wp:positionV relativeFrom="paragraph">
              <wp:posOffset>-17294</wp:posOffset>
            </wp:positionV>
            <wp:extent cx="2257846" cy="581809"/>
            <wp:effectExtent l="0" t="0" r="0" b="8890"/>
            <wp:wrapNone/>
            <wp:docPr id="4" name="Picture 4" descr="\\FS04\mts\MTS Filing Cabinet\Tshirts\MASTER OF THEOLOGICAL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4\mts\MTS Filing Cabinet\Tshirts\MASTER OF THEOLOGICAL STUDIES.jpg"/>
                    <pic:cNvPicPr>
                      <a:picLocks noChangeAspect="1" noChangeArrowheads="1"/>
                    </pic:cNvPicPr>
                  </pic:nvPicPr>
                  <pic:blipFill rotWithShape="1">
                    <a:blip r:embed="rId7" cstate="hqprint">
                      <a:extLst>
                        <a:ext uri="{28A0092B-C50C-407E-A947-70E740481C1C}">
                          <a14:useLocalDpi xmlns:a14="http://schemas.microsoft.com/office/drawing/2010/main" val="0"/>
                        </a:ext>
                      </a:extLst>
                    </a:blip>
                    <a:srcRect l="4648" t="7674" r="11370" b="64325"/>
                    <a:stretch/>
                  </pic:blipFill>
                  <pic:spPr bwMode="auto">
                    <a:xfrm>
                      <a:off x="0" y="0"/>
                      <a:ext cx="2275093" cy="5862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0A86">
        <w:rPr>
          <w:sz w:val="24"/>
          <w:szCs w:val="24"/>
          <w:lang w:val="en-CA"/>
        </w:rPr>
        <w:fldChar w:fldCharType="begin"/>
      </w:r>
      <w:r w:rsidRPr="00C10A86">
        <w:rPr>
          <w:sz w:val="24"/>
          <w:szCs w:val="24"/>
          <w:lang w:val="en-CA"/>
        </w:rPr>
        <w:instrText xml:space="preserve"> SEQ CHAPTER \h \r 1</w:instrText>
      </w:r>
      <w:r w:rsidRPr="00C10A86">
        <w:rPr>
          <w:sz w:val="24"/>
          <w:szCs w:val="24"/>
          <w:lang w:val="en-CA"/>
        </w:rPr>
        <w:fldChar w:fldCharType="end"/>
      </w:r>
      <w:r w:rsidRPr="00C10A86">
        <w:rPr>
          <w:b/>
          <w:bCs/>
          <w:sz w:val="24"/>
          <w:szCs w:val="24"/>
        </w:rPr>
        <w:t>ST. NORBERT COLLEGE</w:t>
      </w:r>
      <w:r w:rsidRPr="00AC51AF">
        <w:rPr>
          <w:b/>
          <w:bCs/>
          <w:sz w:val="24"/>
          <w:szCs w:val="24"/>
        </w:rPr>
        <w:t xml:space="preserve"> </w:t>
      </w:r>
    </w:p>
    <w:p w14:paraId="2AA6470B"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C10A86">
        <w:rPr>
          <w:b/>
          <w:bCs/>
          <w:sz w:val="24"/>
          <w:szCs w:val="24"/>
        </w:rPr>
        <w:t>DE PERE, WI.</w:t>
      </w:r>
    </w:p>
    <w:p w14:paraId="48004C09"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SPRING 2019</w:t>
      </w:r>
    </w:p>
    <w:p w14:paraId="4E71C358"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7D5FEB25" w14:textId="5953DCD8"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4"/>
          <w:szCs w:val="24"/>
        </w:rPr>
      </w:pPr>
      <w:r w:rsidRPr="00C10A86">
        <w:rPr>
          <w:b/>
          <w:bCs/>
          <w:sz w:val="24"/>
          <w:szCs w:val="24"/>
        </w:rPr>
        <w:t xml:space="preserve">THEO 541: </w:t>
      </w:r>
      <w:r w:rsidRPr="00C10A86">
        <w:rPr>
          <w:b/>
          <w:bCs/>
          <w:i/>
          <w:iCs/>
          <w:sz w:val="24"/>
          <w:szCs w:val="24"/>
        </w:rPr>
        <w:t xml:space="preserve"> SACRAMENTAL THEOLOGY</w:t>
      </w:r>
      <w:r w:rsidR="009672FD">
        <w:rPr>
          <w:b/>
          <w:bCs/>
          <w:i/>
          <w:iCs/>
          <w:sz w:val="24"/>
          <w:szCs w:val="24"/>
        </w:rPr>
        <w:t xml:space="preserve"> </w:t>
      </w:r>
      <w:r w:rsidR="009672FD" w:rsidRPr="009672FD">
        <w:rPr>
          <w:b/>
          <w:bCs/>
          <w:iCs/>
          <w:sz w:val="24"/>
          <w:szCs w:val="24"/>
        </w:rPr>
        <w:t>(CRN</w:t>
      </w:r>
      <w:r w:rsidR="009672FD">
        <w:rPr>
          <w:b/>
          <w:bCs/>
          <w:iCs/>
          <w:sz w:val="24"/>
          <w:szCs w:val="24"/>
        </w:rPr>
        <w:t xml:space="preserve"> </w:t>
      </w:r>
      <w:r w:rsidR="009672FD" w:rsidRPr="009672FD">
        <w:rPr>
          <w:b/>
          <w:bCs/>
          <w:iCs/>
          <w:sz w:val="24"/>
          <w:szCs w:val="24"/>
        </w:rPr>
        <w:t>3645)</w:t>
      </w:r>
      <w:r w:rsidR="00937643">
        <w:rPr>
          <w:b/>
          <w:bCs/>
          <w:iCs/>
          <w:sz w:val="24"/>
          <w:szCs w:val="24"/>
        </w:rPr>
        <w:tab/>
      </w:r>
      <w:r w:rsidR="00937643">
        <w:rPr>
          <w:b/>
          <w:bCs/>
          <w:iCs/>
          <w:sz w:val="24"/>
          <w:szCs w:val="24"/>
        </w:rPr>
        <w:tab/>
      </w:r>
    </w:p>
    <w:p w14:paraId="63CCE506" w14:textId="7FB0FCAC" w:rsidR="00230E9E" w:rsidRPr="00C10A86" w:rsidRDefault="00994D76"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Tuesdays,</w:t>
      </w:r>
      <w:r w:rsidR="00CA2D55">
        <w:rPr>
          <w:bCs/>
          <w:sz w:val="24"/>
          <w:szCs w:val="24"/>
        </w:rPr>
        <w:t xml:space="preserve"> </w:t>
      </w:r>
      <w:r>
        <w:rPr>
          <w:bCs/>
          <w:sz w:val="24"/>
          <w:szCs w:val="24"/>
        </w:rPr>
        <w:t xml:space="preserve">6 </w:t>
      </w:r>
      <w:r w:rsidR="00CA2D55">
        <w:rPr>
          <w:bCs/>
          <w:sz w:val="24"/>
          <w:szCs w:val="24"/>
        </w:rPr>
        <w:t xml:space="preserve">p.m. - </w:t>
      </w:r>
      <w:r w:rsidR="00230E9E" w:rsidRPr="00C10A86">
        <w:rPr>
          <w:bCs/>
          <w:sz w:val="24"/>
          <w:szCs w:val="24"/>
        </w:rPr>
        <w:t xml:space="preserve"> </w:t>
      </w:r>
      <w:r>
        <w:rPr>
          <w:bCs/>
          <w:sz w:val="24"/>
          <w:szCs w:val="24"/>
        </w:rPr>
        <w:t xml:space="preserve">9 </w:t>
      </w:r>
      <w:r w:rsidR="00230E9E" w:rsidRPr="00C10A86">
        <w:rPr>
          <w:bCs/>
          <w:sz w:val="24"/>
          <w:szCs w:val="24"/>
        </w:rPr>
        <w:t>p.m.</w:t>
      </w:r>
      <w:r w:rsidR="009672FD">
        <w:rPr>
          <w:bCs/>
          <w:sz w:val="24"/>
          <w:szCs w:val="24"/>
        </w:rPr>
        <w:t xml:space="preserve"> </w:t>
      </w:r>
    </w:p>
    <w:p w14:paraId="467AF750" w14:textId="64EC804C" w:rsidR="00230E9E" w:rsidRPr="00C10A86" w:rsidRDefault="0093764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March 19, 26, April 2, 9, 16</w:t>
      </w:r>
      <w:r w:rsidRPr="003336F3">
        <w:rPr>
          <w:bCs/>
          <w:sz w:val="24"/>
          <w:szCs w:val="24"/>
        </w:rPr>
        <w:t>, 24</w:t>
      </w:r>
    </w:p>
    <w:p w14:paraId="766E939F" w14:textId="66022CB4" w:rsidR="00230E9E" w:rsidRPr="00C10A86" w:rsidRDefault="00CA2D55"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Mulva Library Room</w:t>
      </w:r>
      <w:r w:rsidRPr="003336F3">
        <w:rPr>
          <w:bCs/>
          <w:sz w:val="24"/>
          <w:szCs w:val="24"/>
        </w:rPr>
        <w:t xml:space="preserve"> 31</w:t>
      </w:r>
      <w:r w:rsidR="00937643" w:rsidRPr="003336F3">
        <w:rPr>
          <w:bCs/>
          <w:sz w:val="24"/>
          <w:szCs w:val="24"/>
        </w:rPr>
        <w:t>3</w:t>
      </w:r>
    </w:p>
    <w:p w14:paraId="0B22399E"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3B0929CE"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C10A86">
        <w:rPr>
          <w:b/>
          <w:bCs/>
          <w:sz w:val="24"/>
          <w:szCs w:val="24"/>
        </w:rPr>
        <w:t>Instructor: Dr. Howard Ebert</w:t>
      </w:r>
    </w:p>
    <w:p w14:paraId="6995A1A5"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C10A86">
        <w:rPr>
          <w:bCs/>
          <w:sz w:val="24"/>
          <w:szCs w:val="24"/>
        </w:rPr>
        <w:t>email: howard.ebert@snc.edu</w:t>
      </w:r>
    </w:p>
    <w:p w14:paraId="2C6720AB"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C10A86">
        <w:rPr>
          <w:bCs/>
          <w:sz w:val="24"/>
          <w:szCs w:val="24"/>
        </w:rPr>
        <w:t>Phone: 920-403-3956</w:t>
      </w:r>
    </w:p>
    <w:p w14:paraId="0B5CFEEA"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C10A86">
        <w:rPr>
          <w:bCs/>
          <w:sz w:val="24"/>
          <w:szCs w:val="24"/>
        </w:rPr>
        <w:t>Office Hours:  Before or after class; also by appointment</w:t>
      </w:r>
    </w:p>
    <w:p w14:paraId="09AC12BB"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9573A7F"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C10A86">
        <w:rPr>
          <w:b/>
          <w:bCs/>
          <w:iCs/>
          <w:sz w:val="22"/>
          <w:szCs w:val="22"/>
        </w:rPr>
        <w:t>COURSE DESCRIPTION</w:t>
      </w:r>
      <w:r w:rsidRPr="00C10A86">
        <w:rPr>
          <w:b/>
          <w:bCs/>
          <w:sz w:val="22"/>
          <w:szCs w:val="22"/>
        </w:rPr>
        <w:t xml:space="preserve"> </w:t>
      </w:r>
    </w:p>
    <w:p w14:paraId="126BD436"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10A86">
        <w:rPr>
          <w:sz w:val="22"/>
          <w:szCs w:val="22"/>
        </w:rPr>
        <w:t>This course is an examination of sacramental theology. This examination includes a brief survey of the development of sacramental practices and theologies in Christian history.   Particular attention is given to contemporary Christian theological understandings of sacramentality and sacraments and of their inherent anthropological, ecclesial and liturgical dimensions. The intimate connection between sacramental celebration and the transformation of the individual, the Christian community and the world is also explored.</w:t>
      </w:r>
    </w:p>
    <w:p w14:paraId="4DB8C653"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449D4C86"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2"/>
          <w:szCs w:val="22"/>
        </w:rPr>
      </w:pPr>
      <w:r w:rsidRPr="00C10A86">
        <w:rPr>
          <w:b/>
          <w:bCs/>
          <w:iCs/>
          <w:sz w:val="22"/>
          <w:szCs w:val="22"/>
        </w:rPr>
        <w:t xml:space="preserve">REQUIRED COURSE TEXTS  </w:t>
      </w:r>
    </w:p>
    <w:p w14:paraId="554934C2" w14:textId="77777777" w:rsidR="00CA2D55" w:rsidRDefault="00CA2D55"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2"/>
          <w:szCs w:val="22"/>
        </w:rPr>
      </w:pPr>
    </w:p>
    <w:p w14:paraId="01D4929C" w14:textId="77777777" w:rsidR="00CA2D55" w:rsidRDefault="00CA2D55" w:rsidP="00C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xml:space="preserve">Irwin, Kevin. </w:t>
      </w:r>
      <w:r w:rsidRPr="00377682">
        <w:rPr>
          <w:bCs/>
          <w:i/>
          <w:sz w:val="22"/>
          <w:szCs w:val="22"/>
        </w:rPr>
        <w:t>The Sacraments: Historical Foundations and Liturgical Theology</w:t>
      </w:r>
      <w:r>
        <w:rPr>
          <w:bCs/>
          <w:sz w:val="22"/>
          <w:szCs w:val="22"/>
        </w:rPr>
        <w:t>. New York: Paulist Press, 2016.</w:t>
      </w:r>
    </w:p>
    <w:p w14:paraId="7479DB07" w14:textId="77777777" w:rsidR="00CA2D55" w:rsidRDefault="00CA2D55"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2"/>
          <w:szCs w:val="22"/>
        </w:rPr>
      </w:pPr>
    </w:p>
    <w:p w14:paraId="11D64075" w14:textId="63737862" w:rsidR="00937643" w:rsidRPr="003336F3" w:rsidRDefault="0093764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336F3">
        <w:rPr>
          <w:bCs/>
          <w:sz w:val="22"/>
          <w:szCs w:val="22"/>
        </w:rPr>
        <w:t xml:space="preserve">Martos, Joseph. </w:t>
      </w:r>
      <w:r w:rsidRPr="003336F3">
        <w:rPr>
          <w:bCs/>
          <w:i/>
          <w:sz w:val="22"/>
          <w:szCs w:val="22"/>
        </w:rPr>
        <w:t xml:space="preserve">Doors to the Sacred: A Historical Introduction to Sacraments in the Catholic Church. </w:t>
      </w:r>
      <w:r w:rsidRPr="003336F3">
        <w:rPr>
          <w:bCs/>
          <w:sz w:val="22"/>
          <w:szCs w:val="22"/>
        </w:rPr>
        <w:t xml:space="preserve">Revised and Updated Edition, Missouri: Liguori Triumph, 2001.  </w:t>
      </w:r>
    </w:p>
    <w:p w14:paraId="10EE0E94" w14:textId="5EBC786C" w:rsidR="009637DB" w:rsidRPr="005C002C" w:rsidRDefault="009637DB" w:rsidP="005C002C">
      <w:pPr>
        <w:widowControl/>
        <w:autoSpaceDE/>
        <w:autoSpaceDN/>
        <w:adjustRightInd/>
        <w:rPr>
          <w:rFonts w:eastAsia="Times New Roman"/>
          <w:i/>
          <w:color w:val="222222"/>
          <w:sz w:val="22"/>
          <w:szCs w:val="22"/>
        </w:rPr>
      </w:pPr>
      <w:r w:rsidRPr="003336F3">
        <w:rPr>
          <w:rFonts w:ascii="Arial" w:eastAsia="Times New Roman" w:hAnsi="Arial" w:cs="Arial"/>
          <w:color w:val="222222"/>
          <w:sz w:val="24"/>
          <w:szCs w:val="24"/>
          <w:u w:val="single"/>
        </w:rPr>
        <w:br/>
      </w:r>
      <w:r w:rsidR="00297E1F" w:rsidRPr="00994D76">
        <w:rPr>
          <w:rFonts w:eastAsia="Times New Roman"/>
          <w:color w:val="222222"/>
          <w:sz w:val="22"/>
          <w:szCs w:val="22"/>
        </w:rPr>
        <w:t>Winner, Lauren F.</w:t>
      </w:r>
      <w:r w:rsidR="00297E1F" w:rsidRPr="00994D76">
        <w:rPr>
          <w:rFonts w:eastAsia="Times New Roman"/>
          <w:color w:val="222222"/>
          <w:sz w:val="22"/>
          <w:szCs w:val="22"/>
          <w:u w:val="single"/>
        </w:rPr>
        <w:t xml:space="preserve"> </w:t>
      </w:r>
      <w:r w:rsidRPr="00994D76">
        <w:rPr>
          <w:rFonts w:eastAsia="Times New Roman"/>
          <w:i/>
          <w:color w:val="222222"/>
          <w:sz w:val="22"/>
          <w:szCs w:val="22"/>
        </w:rPr>
        <w:t xml:space="preserve">The Dangers of Christian </w:t>
      </w:r>
      <w:r w:rsidR="00994D76" w:rsidRPr="00994D76">
        <w:rPr>
          <w:rFonts w:eastAsia="Times New Roman"/>
          <w:i/>
          <w:color w:val="222222"/>
          <w:sz w:val="22"/>
          <w:szCs w:val="22"/>
        </w:rPr>
        <w:t>Practice: On Wayward Gifts, Characteristic Damage, and Sin.</w:t>
      </w:r>
      <w:r w:rsidR="00994D76" w:rsidRPr="00994D76">
        <w:rPr>
          <w:rFonts w:eastAsia="Times New Roman"/>
          <w:color w:val="222222"/>
          <w:sz w:val="22"/>
          <w:szCs w:val="22"/>
        </w:rPr>
        <w:t xml:space="preserve"> New York: Yale University Press, 2018.</w:t>
      </w:r>
    </w:p>
    <w:p w14:paraId="2F87547A" w14:textId="77777777" w:rsidR="009637DB" w:rsidRPr="00994D76" w:rsidRDefault="009637DB"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4D1CBA2B"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08E53FC6" w14:textId="48F18F6A" w:rsidR="00230E9E" w:rsidRPr="00937643"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183436">
        <w:rPr>
          <w:b/>
          <w:bCs/>
          <w:sz w:val="22"/>
          <w:szCs w:val="22"/>
          <w:u w:val="single"/>
        </w:rPr>
        <w:t>Recommended​</w:t>
      </w:r>
      <w:r w:rsidRPr="00C10A86">
        <w:rPr>
          <w:bCs/>
          <w:sz w:val="22"/>
          <w:szCs w:val="22"/>
        </w:rPr>
        <w:t xml:space="preserve"> </w:t>
      </w:r>
    </w:p>
    <w:p w14:paraId="0F3621E8" w14:textId="77777777" w:rsidR="00937643" w:rsidRDefault="0093764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10590C59" w14:textId="77777777" w:rsidR="00937643" w:rsidRPr="00CA2D55" w:rsidRDefault="00937643" w:rsidP="00937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 w:val="22"/>
          <w:szCs w:val="22"/>
        </w:rPr>
      </w:pPr>
      <w:r w:rsidRPr="00CA2D55">
        <w:rPr>
          <w:bCs/>
          <w:iCs/>
          <w:sz w:val="22"/>
          <w:szCs w:val="22"/>
        </w:rPr>
        <w:t>Power, David N.</w:t>
      </w:r>
      <w:r>
        <w:rPr>
          <w:bCs/>
          <w:iCs/>
          <w:sz w:val="22"/>
          <w:szCs w:val="22"/>
        </w:rPr>
        <w:t xml:space="preserve"> </w:t>
      </w:r>
      <w:r w:rsidRPr="009F4F8C">
        <w:rPr>
          <w:bCs/>
          <w:i/>
          <w:iCs/>
          <w:sz w:val="22"/>
          <w:szCs w:val="22"/>
        </w:rPr>
        <w:t>Sacrament: The Language of God’s Giving</w:t>
      </w:r>
      <w:r>
        <w:rPr>
          <w:bCs/>
          <w:iCs/>
          <w:sz w:val="22"/>
          <w:szCs w:val="22"/>
        </w:rPr>
        <w:t>. New York: The Crossroad Publishing Company, 1999</w:t>
      </w:r>
    </w:p>
    <w:p w14:paraId="5DCC55F6"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030AB6B2"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xml:space="preserve">U.S. Catholic Church. </w:t>
      </w:r>
      <w:r w:rsidRPr="00377682">
        <w:rPr>
          <w:bCs/>
          <w:i/>
          <w:sz w:val="22"/>
          <w:szCs w:val="22"/>
        </w:rPr>
        <w:t>Catechism of the Catholic Church</w:t>
      </w:r>
      <w:r>
        <w:rPr>
          <w:bCs/>
          <w:sz w:val="22"/>
          <w:szCs w:val="22"/>
        </w:rPr>
        <w:t>. USCCB Publishing, 1995.</w:t>
      </w:r>
    </w:p>
    <w:p w14:paraId="4D0F8A47"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 w:val="22"/>
          <w:szCs w:val="22"/>
        </w:rPr>
      </w:pPr>
    </w:p>
    <w:p w14:paraId="6838A7CD"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C10A86">
        <w:rPr>
          <w:b/>
          <w:bCs/>
          <w:sz w:val="22"/>
          <w:szCs w:val="22"/>
        </w:rPr>
        <w:t>COURSE OBJECTIVES</w:t>
      </w:r>
    </w:p>
    <w:p w14:paraId="608A446E" w14:textId="77777777" w:rsidR="00230E9E" w:rsidRPr="00C10A86" w:rsidRDefault="00230E9E" w:rsidP="00230E9E">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C10A86">
        <w:rPr>
          <w:bCs/>
          <w:sz w:val="22"/>
          <w:szCs w:val="22"/>
        </w:rPr>
        <w:t>Students will be able to locate various sacramental understandings in the appropriate historical, cultural and ecclesial contexts.</w:t>
      </w:r>
    </w:p>
    <w:p w14:paraId="33700B73" w14:textId="77777777" w:rsidR="00230E9E" w:rsidRPr="00C10A86" w:rsidRDefault="00230E9E" w:rsidP="00230E9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5"/>
        <w:rPr>
          <w:bCs/>
          <w:sz w:val="22"/>
          <w:szCs w:val="22"/>
        </w:rPr>
      </w:pPr>
    </w:p>
    <w:p w14:paraId="6C740C4C" w14:textId="7DB4DEDC" w:rsidR="00230E9E" w:rsidRPr="00C10A86" w:rsidRDefault="00230E9E" w:rsidP="00230E9E">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C10A86">
        <w:rPr>
          <w:bCs/>
          <w:sz w:val="22"/>
          <w:szCs w:val="22"/>
        </w:rPr>
        <w:t xml:space="preserve">Students will be able to identify and relate basic </w:t>
      </w:r>
      <w:r w:rsidR="005C002C">
        <w:rPr>
          <w:bCs/>
          <w:sz w:val="22"/>
          <w:szCs w:val="22"/>
        </w:rPr>
        <w:t>foundational anthropologies, ecc</w:t>
      </w:r>
      <w:r w:rsidRPr="00C10A86">
        <w:rPr>
          <w:bCs/>
          <w:sz w:val="22"/>
          <w:szCs w:val="22"/>
        </w:rPr>
        <w:t>lesiologies, christologies that affect sacramental theologies.</w:t>
      </w:r>
    </w:p>
    <w:p w14:paraId="3B08B16D" w14:textId="77777777" w:rsidR="00230E9E" w:rsidRPr="00C10A86" w:rsidRDefault="00230E9E" w:rsidP="00230E9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578B7924" w14:textId="77777777" w:rsidR="00230E9E" w:rsidRPr="00C10A86" w:rsidRDefault="00230E9E" w:rsidP="00230E9E">
      <w:pPr>
        <w:pStyle w:val="ListParagraph"/>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C10A86">
        <w:rPr>
          <w:bCs/>
          <w:sz w:val="22"/>
          <w:szCs w:val="22"/>
        </w:rPr>
        <w:lastRenderedPageBreak/>
        <w:t xml:space="preserve">  Students will assess pertinent cultural and historical influences on sacramental practices through the centuries. </w:t>
      </w:r>
    </w:p>
    <w:p w14:paraId="1CB32C0D" w14:textId="77777777" w:rsidR="00230E9E" w:rsidRPr="00C10A86" w:rsidRDefault="00230E9E" w:rsidP="00230E9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20ADBDA0" w14:textId="77777777" w:rsidR="00230E9E" w:rsidRPr="00C10A86" w:rsidRDefault="00230E9E" w:rsidP="00230E9E">
      <w:pPr>
        <w:pStyle w:val="ListParagraph"/>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C10A86">
        <w:rPr>
          <w:bCs/>
          <w:sz w:val="22"/>
          <w:szCs w:val="22"/>
        </w:rPr>
        <w:t>Students will demonstrate the ability to identify and assess diverse theological perspectives concerning pastoral issues and sacramental life in the 21</w:t>
      </w:r>
      <w:r w:rsidRPr="00C10A86">
        <w:rPr>
          <w:bCs/>
          <w:sz w:val="22"/>
          <w:szCs w:val="22"/>
          <w:vertAlign w:val="superscript"/>
        </w:rPr>
        <w:t>st</w:t>
      </w:r>
      <w:r w:rsidRPr="00C10A86">
        <w:rPr>
          <w:bCs/>
          <w:sz w:val="22"/>
          <w:szCs w:val="22"/>
        </w:rPr>
        <w:t xml:space="preserve"> century.</w:t>
      </w:r>
    </w:p>
    <w:p w14:paraId="445060DE" w14:textId="77777777" w:rsidR="00230E9E" w:rsidRPr="00C10A86" w:rsidRDefault="00230E9E" w:rsidP="00230E9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5AA0F1E6" w14:textId="77777777" w:rsidR="00230E9E" w:rsidRPr="00C10A86" w:rsidRDefault="00230E9E" w:rsidP="00230E9E">
      <w:pPr>
        <w:pStyle w:val="ListParagraph"/>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C10A86">
        <w:rPr>
          <w:bCs/>
          <w:sz w:val="22"/>
          <w:szCs w:val="22"/>
        </w:rPr>
        <w:t xml:space="preserve"> Students will examine specific sacraments and their practices and identify the central theological assumptions at work in each. </w:t>
      </w:r>
    </w:p>
    <w:p w14:paraId="6B6CE8CE"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4C2C2863" w14:textId="77777777" w:rsidR="00230E9E" w:rsidRDefault="00230E9E" w:rsidP="00230E9E">
      <w:pPr>
        <w:rPr>
          <w:b/>
          <w:sz w:val="22"/>
          <w:szCs w:val="22"/>
        </w:rPr>
      </w:pPr>
    </w:p>
    <w:p w14:paraId="55163A0D" w14:textId="77777777" w:rsidR="00230E9E" w:rsidRPr="00C10A86" w:rsidRDefault="00230E9E" w:rsidP="00230E9E">
      <w:pPr>
        <w:rPr>
          <w:b/>
          <w:sz w:val="22"/>
          <w:szCs w:val="22"/>
        </w:rPr>
      </w:pPr>
      <w:r w:rsidRPr="00C10A86">
        <w:rPr>
          <w:b/>
          <w:sz w:val="22"/>
          <w:szCs w:val="22"/>
        </w:rPr>
        <w:t>COURSE REQUIREMENTS:</w:t>
      </w:r>
    </w:p>
    <w:p w14:paraId="50BDE7A1" w14:textId="77777777" w:rsidR="00230E9E" w:rsidRPr="00C10A86" w:rsidRDefault="00230E9E" w:rsidP="00230E9E">
      <w:pPr>
        <w:pStyle w:val="Heading1"/>
        <w:rPr>
          <w:sz w:val="22"/>
          <w:szCs w:val="22"/>
        </w:rPr>
      </w:pPr>
      <w:r w:rsidRPr="00C10A86">
        <w:rPr>
          <w:sz w:val="22"/>
          <w:szCs w:val="22"/>
        </w:rPr>
        <w:t>Class Attendance and Participation</w:t>
      </w:r>
    </w:p>
    <w:p w14:paraId="206BDC57" w14:textId="77777777" w:rsidR="00230E9E" w:rsidRPr="00C10A86" w:rsidRDefault="00230E9E" w:rsidP="00230E9E">
      <w:pPr>
        <w:rPr>
          <w:sz w:val="22"/>
          <w:szCs w:val="22"/>
        </w:rPr>
      </w:pPr>
      <w:r w:rsidRPr="00C10A86">
        <w:rPr>
          <w:sz w:val="22"/>
          <w:szCs w:val="22"/>
        </w:rPr>
        <w:t>The seminar nature of the course requires regular attendance.  Active participation (e.g. raising questions, contributing to class discussions, etc.) in all discussions is also expected.  The necessary prerequisite for a fruitful discussion is a careful, critical reading of the assigned texts by all class members.  It is simply assumed that all participants of this course will be honest, open, and respectful of diverse beliefs.</w:t>
      </w:r>
    </w:p>
    <w:p w14:paraId="64F0A8B4" w14:textId="77777777" w:rsidR="00230E9E" w:rsidRPr="00C10A86" w:rsidRDefault="00230E9E" w:rsidP="00230E9E">
      <w:pPr>
        <w:rPr>
          <w:sz w:val="22"/>
          <w:szCs w:val="22"/>
        </w:rPr>
      </w:pPr>
    </w:p>
    <w:p w14:paraId="7F84FCF2" w14:textId="77777777" w:rsidR="00230E9E" w:rsidRPr="00C10A86" w:rsidRDefault="00230E9E" w:rsidP="00230E9E">
      <w:pPr>
        <w:rPr>
          <w:sz w:val="22"/>
          <w:szCs w:val="22"/>
        </w:rPr>
      </w:pPr>
      <w:r w:rsidRPr="00C10A86">
        <w:rPr>
          <w:sz w:val="22"/>
          <w:szCs w:val="22"/>
        </w:rPr>
        <w:t xml:space="preserve">Academic dishonesty cannot be tolerated because it violates the essential integrity of individuals and the mission of St. Norbert College.  Please see the </w:t>
      </w:r>
      <w:r w:rsidRPr="00C10A86">
        <w:rPr>
          <w:i/>
          <w:sz w:val="22"/>
          <w:szCs w:val="22"/>
        </w:rPr>
        <w:t>St. Norbert College Academic Honor Code</w:t>
      </w:r>
      <w:r w:rsidRPr="00C10A86">
        <w:rPr>
          <w:sz w:val="22"/>
          <w:szCs w:val="22"/>
        </w:rPr>
        <w:t xml:space="preserve"> for a definition of academic dishonesty and for the procedures in place to deal with violations of the code.  These procedures will be strictly adhered to in this course.</w:t>
      </w:r>
    </w:p>
    <w:p w14:paraId="2BE8BDE9" w14:textId="77777777" w:rsidR="00230E9E" w:rsidRPr="00C10A86" w:rsidRDefault="00230E9E" w:rsidP="00230E9E">
      <w:pPr>
        <w:rPr>
          <w:sz w:val="22"/>
          <w:szCs w:val="22"/>
        </w:rPr>
      </w:pPr>
    </w:p>
    <w:p w14:paraId="1ACA6000" w14:textId="77777777" w:rsidR="00230E9E" w:rsidRPr="00C10A86" w:rsidRDefault="00230E9E" w:rsidP="00230E9E">
      <w:pPr>
        <w:rPr>
          <w:sz w:val="22"/>
          <w:szCs w:val="22"/>
        </w:rPr>
      </w:pPr>
      <w:r w:rsidRPr="00C10A86">
        <w:rPr>
          <w:i/>
          <w:sz w:val="22"/>
          <w:szCs w:val="22"/>
        </w:rPr>
        <w:t>Class preparation</w:t>
      </w:r>
    </w:p>
    <w:p w14:paraId="60D196FF" w14:textId="77777777" w:rsidR="00230E9E" w:rsidRPr="00C10A86" w:rsidRDefault="00230E9E" w:rsidP="00230E9E">
      <w:pPr>
        <w:rPr>
          <w:sz w:val="22"/>
          <w:szCs w:val="22"/>
        </w:rPr>
      </w:pPr>
      <w:r w:rsidRPr="00C10A86">
        <w:rPr>
          <w:sz w:val="22"/>
          <w:szCs w:val="22"/>
        </w:rPr>
        <w:t xml:space="preserve">Careful, reflective, critical reading of assigned texts is essential. </w:t>
      </w:r>
    </w:p>
    <w:p w14:paraId="639A9AE9" w14:textId="77777777" w:rsidR="00230E9E" w:rsidRPr="00C10A86" w:rsidRDefault="00230E9E" w:rsidP="00230E9E">
      <w:pPr>
        <w:rPr>
          <w:sz w:val="22"/>
          <w:szCs w:val="22"/>
        </w:rPr>
      </w:pPr>
    </w:p>
    <w:p w14:paraId="3D35DA86" w14:textId="77777777" w:rsidR="00230E9E" w:rsidRPr="00C10A86" w:rsidRDefault="00230E9E" w:rsidP="00230E9E">
      <w:pPr>
        <w:pStyle w:val="Heading1"/>
        <w:rPr>
          <w:sz w:val="22"/>
          <w:szCs w:val="22"/>
        </w:rPr>
      </w:pPr>
      <w:r w:rsidRPr="00C10A86">
        <w:rPr>
          <w:sz w:val="22"/>
          <w:szCs w:val="22"/>
        </w:rPr>
        <w:t>Papers</w:t>
      </w:r>
    </w:p>
    <w:p w14:paraId="560D2683" w14:textId="21F07144" w:rsidR="00230E9E" w:rsidRPr="00C10A86" w:rsidRDefault="00230E9E" w:rsidP="00230E9E">
      <w:pPr>
        <w:rPr>
          <w:sz w:val="22"/>
          <w:szCs w:val="22"/>
        </w:rPr>
      </w:pPr>
      <w:r w:rsidRPr="00C10A86">
        <w:rPr>
          <w:sz w:val="22"/>
          <w:szCs w:val="22"/>
        </w:rPr>
        <w:t xml:space="preserve">Six papers are required. Five of the papers are response papers (2 to 3 pages) (see description </w:t>
      </w:r>
      <w:r>
        <w:rPr>
          <w:sz w:val="22"/>
          <w:szCs w:val="22"/>
        </w:rPr>
        <w:t>on page 3)</w:t>
      </w:r>
      <w:r w:rsidRPr="00C10A86">
        <w:rPr>
          <w:sz w:val="22"/>
          <w:szCs w:val="22"/>
        </w:rPr>
        <w:t>.   The sixth paper (</w:t>
      </w:r>
      <w:r w:rsidR="00C80035">
        <w:rPr>
          <w:sz w:val="22"/>
          <w:szCs w:val="22"/>
        </w:rPr>
        <w:t>8 to 10</w:t>
      </w:r>
      <w:r w:rsidRPr="00C10A86">
        <w:rPr>
          <w:sz w:val="22"/>
          <w:szCs w:val="22"/>
        </w:rPr>
        <w:t xml:space="preserve"> pages) is a “</w:t>
      </w:r>
      <w:r>
        <w:rPr>
          <w:sz w:val="22"/>
          <w:szCs w:val="22"/>
        </w:rPr>
        <w:t>Theological Analysis of a Sacramental Rite</w:t>
      </w:r>
      <w:r w:rsidRPr="00C10A86">
        <w:rPr>
          <w:sz w:val="22"/>
          <w:szCs w:val="22"/>
        </w:rPr>
        <w:t xml:space="preserve">” paper.  This paper is an analysis of a specific </w:t>
      </w:r>
      <w:r w:rsidR="003336F3">
        <w:rPr>
          <w:sz w:val="22"/>
          <w:szCs w:val="22"/>
        </w:rPr>
        <w:t>r</w:t>
      </w:r>
      <w:r>
        <w:rPr>
          <w:sz w:val="22"/>
          <w:szCs w:val="22"/>
        </w:rPr>
        <w:t>ite (i.e., general structure or particular element).</w:t>
      </w:r>
      <w:r w:rsidRPr="00C10A86">
        <w:rPr>
          <w:sz w:val="22"/>
          <w:szCs w:val="22"/>
        </w:rPr>
        <w:t xml:space="preserve"> </w:t>
      </w:r>
      <w:r>
        <w:rPr>
          <w:sz w:val="22"/>
          <w:szCs w:val="22"/>
        </w:rPr>
        <w:t xml:space="preserve">The paper will include historical, anthropological and theological analysis.  </w:t>
      </w:r>
      <w:r w:rsidRPr="00C10A86">
        <w:rPr>
          <w:sz w:val="22"/>
          <w:szCs w:val="22"/>
        </w:rPr>
        <w:t>More details will be given in class.</w:t>
      </w:r>
    </w:p>
    <w:p w14:paraId="518B55A4"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2"/>
          <w:szCs w:val="22"/>
        </w:rPr>
      </w:pPr>
    </w:p>
    <w:p w14:paraId="69615D8D" w14:textId="77777777" w:rsidR="00230E9E" w:rsidRPr="00981F81" w:rsidRDefault="00230E9E" w:rsidP="00230E9E">
      <w:pPr>
        <w:rPr>
          <w:sz w:val="23"/>
          <w:szCs w:val="23"/>
        </w:rPr>
      </w:pPr>
    </w:p>
    <w:p w14:paraId="574ED66B" w14:textId="77777777" w:rsidR="00230E9E" w:rsidRPr="00437EAA" w:rsidRDefault="00230E9E" w:rsidP="00230E9E">
      <w:pPr>
        <w:rPr>
          <w:sz w:val="22"/>
          <w:szCs w:val="22"/>
        </w:rPr>
      </w:pPr>
      <w:r w:rsidRPr="00437EAA">
        <w:rPr>
          <w:b/>
          <w:sz w:val="22"/>
          <w:szCs w:val="22"/>
        </w:rPr>
        <w:t>EVALUATIONS AND GRADING:</w:t>
      </w:r>
    </w:p>
    <w:tbl>
      <w:tblPr>
        <w:tblW w:w="4752" w:type="dxa"/>
        <w:tblInd w:w="558" w:type="dxa"/>
        <w:tblLayout w:type="fixed"/>
        <w:tblLook w:val="0000" w:firstRow="0" w:lastRow="0" w:firstColumn="0" w:lastColumn="0" w:noHBand="0" w:noVBand="0"/>
      </w:tblPr>
      <w:tblGrid>
        <w:gridCol w:w="3672"/>
        <w:gridCol w:w="1080"/>
      </w:tblGrid>
      <w:tr w:rsidR="00230E9E" w:rsidRPr="00981F81" w14:paraId="151C5198" w14:textId="77777777" w:rsidTr="008626DF">
        <w:tc>
          <w:tcPr>
            <w:tcW w:w="3672" w:type="dxa"/>
          </w:tcPr>
          <w:p w14:paraId="0684ABCE" w14:textId="77777777" w:rsidR="00230E9E" w:rsidRPr="00981F81" w:rsidRDefault="00230E9E" w:rsidP="008626DF">
            <w:pPr>
              <w:rPr>
                <w:sz w:val="23"/>
                <w:szCs w:val="23"/>
              </w:rPr>
            </w:pPr>
            <w:r w:rsidRPr="00981F81">
              <w:rPr>
                <w:sz w:val="23"/>
                <w:szCs w:val="23"/>
              </w:rPr>
              <w:t>Class participation</w:t>
            </w:r>
          </w:p>
        </w:tc>
        <w:tc>
          <w:tcPr>
            <w:tcW w:w="1080" w:type="dxa"/>
          </w:tcPr>
          <w:p w14:paraId="2ABFA4A7" w14:textId="7DCB89E2" w:rsidR="00230E9E" w:rsidRPr="00981F81" w:rsidRDefault="009030D5" w:rsidP="008626DF">
            <w:pPr>
              <w:rPr>
                <w:sz w:val="23"/>
                <w:szCs w:val="23"/>
              </w:rPr>
            </w:pPr>
            <w:r>
              <w:rPr>
                <w:sz w:val="23"/>
                <w:szCs w:val="23"/>
              </w:rPr>
              <w:t>2</w:t>
            </w:r>
            <w:r w:rsidR="00230E9E">
              <w:rPr>
                <w:sz w:val="23"/>
                <w:szCs w:val="23"/>
              </w:rPr>
              <w:t>0</w:t>
            </w:r>
            <w:r w:rsidR="00230E9E" w:rsidRPr="00981F81">
              <w:rPr>
                <w:sz w:val="23"/>
                <w:szCs w:val="23"/>
              </w:rPr>
              <w:t>%</w:t>
            </w:r>
          </w:p>
        </w:tc>
      </w:tr>
      <w:tr w:rsidR="00230E9E" w:rsidRPr="00981F81" w14:paraId="18FD13BA" w14:textId="77777777" w:rsidTr="008626DF">
        <w:tc>
          <w:tcPr>
            <w:tcW w:w="3672" w:type="dxa"/>
          </w:tcPr>
          <w:p w14:paraId="7A72ED29" w14:textId="77777777" w:rsidR="00230E9E" w:rsidRPr="00981F81" w:rsidRDefault="00230E9E" w:rsidP="008626DF">
            <w:pPr>
              <w:rPr>
                <w:sz w:val="23"/>
                <w:szCs w:val="23"/>
              </w:rPr>
            </w:pPr>
            <w:r w:rsidRPr="00981F81">
              <w:rPr>
                <w:sz w:val="23"/>
                <w:szCs w:val="23"/>
              </w:rPr>
              <w:t>Reaction papers (</w:t>
            </w:r>
            <w:r>
              <w:rPr>
                <w:sz w:val="23"/>
                <w:szCs w:val="23"/>
              </w:rPr>
              <w:t>5</w:t>
            </w:r>
            <w:r w:rsidRPr="00981F81">
              <w:rPr>
                <w:sz w:val="23"/>
                <w:szCs w:val="23"/>
              </w:rPr>
              <w:t>)</w:t>
            </w:r>
            <w:r>
              <w:rPr>
                <w:sz w:val="23"/>
                <w:szCs w:val="23"/>
              </w:rPr>
              <w:t xml:space="preserve"> 2 to 3 pages</w:t>
            </w:r>
          </w:p>
        </w:tc>
        <w:tc>
          <w:tcPr>
            <w:tcW w:w="1080" w:type="dxa"/>
          </w:tcPr>
          <w:p w14:paraId="26013FE6" w14:textId="77777777" w:rsidR="00230E9E" w:rsidRPr="00981F81" w:rsidRDefault="00230E9E" w:rsidP="008626DF">
            <w:pPr>
              <w:rPr>
                <w:sz w:val="23"/>
                <w:szCs w:val="23"/>
              </w:rPr>
            </w:pPr>
            <w:r>
              <w:rPr>
                <w:sz w:val="23"/>
                <w:szCs w:val="23"/>
              </w:rPr>
              <w:t>50</w:t>
            </w:r>
            <w:r w:rsidRPr="00981F81">
              <w:rPr>
                <w:sz w:val="23"/>
                <w:szCs w:val="23"/>
              </w:rPr>
              <w:t>%</w:t>
            </w:r>
          </w:p>
        </w:tc>
      </w:tr>
      <w:tr w:rsidR="00230E9E" w:rsidRPr="00981F81" w14:paraId="7154912A" w14:textId="77777777" w:rsidTr="008626DF">
        <w:tc>
          <w:tcPr>
            <w:tcW w:w="3672" w:type="dxa"/>
          </w:tcPr>
          <w:p w14:paraId="3FEA90C0" w14:textId="3A8115B9" w:rsidR="00230E9E" w:rsidRPr="00981F81" w:rsidRDefault="005C002C" w:rsidP="008626DF">
            <w:pPr>
              <w:rPr>
                <w:sz w:val="23"/>
                <w:szCs w:val="23"/>
              </w:rPr>
            </w:pPr>
            <w:r>
              <w:rPr>
                <w:sz w:val="23"/>
                <w:szCs w:val="23"/>
              </w:rPr>
              <w:t>“Theologic</w:t>
            </w:r>
            <w:r w:rsidR="00230E9E">
              <w:rPr>
                <w:sz w:val="23"/>
                <w:szCs w:val="23"/>
              </w:rPr>
              <w:t>al Analysis</w:t>
            </w:r>
            <w:r>
              <w:rPr>
                <w:sz w:val="23"/>
                <w:szCs w:val="23"/>
              </w:rPr>
              <w:t>”</w:t>
            </w:r>
            <w:r w:rsidR="00230E9E">
              <w:rPr>
                <w:sz w:val="23"/>
                <w:szCs w:val="23"/>
              </w:rPr>
              <w:t xml:space="preserve">  </w:t>
            </w:r>
          </w:p>
        </w:tc>
        <w:tc>
          <w:tcPr>
            <w:tcW w:w="1080" w:type="dxa"/>
          </w:tcPr>
          <w:p w14:paraId="24BFE8D9" w14:textId="2496D827" w:rsidR="00230E9E" w:rsidRPr="00981F81" w:rsidRDefault="009030D5" w:rsidP="008626DF">
            <w:pPr>
              <w:rPr>
                <w:sz w:val="23"/>
                <w:szCs w:val="23"/>
              </w:rPr>
            </w:pPr>
            <w:r>
              <w:rPr>
                <w:sz w:val="23"/>
                <w:szCs w:val="23"/>
              </w:rPr>
              <w:t>3</w:t>
            </w:r>
            <w:r w:rsidR="00230E9E" w:rsidRPr="00981F81">
              <w:rPr>
                <w:sz w:val="23"/>
                <w:szCs w:val="23"/>
              </w:rPr>
              <w:t>0%</w:t>
            </w:r>
          </w:p>
        </w:tc>
      </w:tr>
      <w:tr w:rsidR="00230E9E" w:rsidRPr="00981F81" w14:paraId="6C43D2A2" w14:textId="77777777" w:rsidTr="009030D5">
        <w:trPr>
          <w:trHeight w:val="216"/>
        </w:trPr>
        <w:tc>
          <w:tcPr>
            <w:tcW w:w="3672" w:type="dxa"/>
          </w:tcPr>
          <w:p w14:paraId="5451EB46" w14:textId="618E9EAC" w:rsidR="00230E9E" w:rsidRPr="00981F81" w:rsidRDefault="00230E9E" w:rsidP="008626DF">
            <w:pPr>
              <w:rPr>
                <w:sz w:val="23"/>
                <w:szCs w:val="23"/>
              </w:rPr>
            </w:pPr>
          </w:p>
        </w:tc>
        <w:tc>
          <w:tcPr>
            <w:tcW w:w="1080" w:type="dxa"/>
          </w:tcPr>
          <w:p w14:paraId="65BBAF60" w14:textId="7199A08B" w:rsidR="00230E9E" w:rsidRPr="00981F81" w:rsidRDefault="00230E9E" w:rsidP="008626DF">
            <w:pPr>
              <w:rPr>
                <w:sz w:val="23"/>
                <w:szCs w:val="23"/>
              </w:rPr>
            </w:pPr>
          </w:p>
        </w:tc>
      </w:tr>
    </w:tbl>
    <w:p w14:paraId="00F48C1D"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0AFE05E"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2"/>
          <w:szCs w:val="22"/>
        </w:rPr>
      </w:pPr>
      <w:r w:rsidRPr="00C10A86">
        <w:rPr>
          <w:b/>
          <w:bCs/>
          <w:i/>
          <w:iCs/>
          <w:sz w:val="22"/>
          <w:szCs w:val="22"/>
        </w:rPr>
        <w:t>Grade Equivalents</w:t>
      </w:r>
    </w:p>
    <w:p w14:paraId="363F59F4"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76AC8D9"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 93</w:t>
      </w:r>
      <w:r w:rsidRPr="00C10A86">
        <w:rPr>
          <w:b/>
          <w:bCs/>
          <w:sz w:val="22"/>
          <w:szCs w:val="22"/>
        </w:rPr>
        <w:t>-100   AB: 88-92   B: 83-8</w:t>
      </w:r>
      <w:r>
        <w:rPr>
          <w:b/>
          <w:bCs/>
          <w:sz w:val="22"/>
          <w:szCs w:val="22"/>
        </w:rPr>
        <w:t>7</w:t>
      </w:r>
      <w:r w:rsidRPr="00C10A86">
        <w:rPr>
          <w:b/>
          <w:bCs/>
          <w:sz w:val="22"/>
          <w:szCs w:val="22"/>
        </w:rPr>
        <w:t xml:space="preserve">    BC: </w:t>
      </w:r>
      <w:r>
        <w:rPr>
          <w:b/>
          <w:bCs/>
          <w:sz w:val="22"/>
          <w:szCs w:val="22"/>
        </w:rPr>
        <w:t>78-82</w:t>
      </w:r>
      <w:r w:rsidRPr="00C10A86">
        <w:rPr>
          <w:b/>
          <w:bCs/>
          <w:sz w:val="22"/>
          <w:szCs w:val="22"/>
        </w:rPr>
        <w:t xml:space="preserve">   C: </w:t>
      </w:r>
      <w:r>
        <w:rPr>
          <w:b/>
          <w:bCs/>
          <w:sz w:val="22"/>
          <w:szCs w:val="22"/>
        </w:rPr>
        <w:t>73-77</w:t>
      </w:r>
      <w:r w:rsidRPr="00C10A86">
        <w:rPr>
          <w:b/>
          <w:bCs/>
          <w:sz w:val="22"/>
          <w:szCs w:val="22"/>
        </w:rPr>
        <w:t xml:space="preserve"> </w:t>
      </w:r>
    </w:p>
    <w:p w14:paraId="16A7F331"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442967C8"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7F3A5A" w14:textId="77777777" w:rsidR="00230E9E" w:rsidRPr="00C10A86" w:rsidRDefault="00230E9E" w:rsidP="00230E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10A86">
        <w:rPr>
          <w:sz w:val="22"/>
          <w:szCs w:val="22"/>
        </w:rPr>
        <w:t xml:space="preserve">The learning process proceeds only when Students perform honestly on assignments and examinations.  All students are expected to abide by the Academic Honor code.  It defines academic dishonesty and sets forth the responsibilities of faculty and students in the event of alleged dishonesty.  Possible penalties for dishonesty include reduction of a grade, failure in the course, failure and suspension, or failure and dismissal.  Please refer to the current </w:t>
      </w:r>
      <w:r w:rsidRPr="00C10A86">
        <w:rPr>
          <w:i/>
          <w:iCs/>
          <w:sz w:val="22"/>
          <w:szCs w:val="22"/>
        </w:rPr>
        <w:t>St. Norbert College Student Handbook</w:t>
      </w:r>
      <w:r w:rsidRPr="00C10A86">
        <w:rPr>
          <w:b/>
          <w:bCs/>
          <w:i/>
          <w:iCs/>
          <w:sz w:val="22"/>
          <w:szCs w:val="22"/>
        </w:rPr>
        <w:t xml:space="preserve"> </w:t>
      </w:r>
      <w:r w:rsidRPr="00C10A86">
        <w:rPr>
          <w:sz w:val="22"/>
          <w:szCs w:val="22"/>
        </w:rPr>
        <w:t>for the text of the Academic Honor Code.</w:t>
      </w:r>
    </w:p>
    <w:p w14:paraId="42EE483E"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A56392E" w14:textId="77777777" w:rsidR="00230E9E" w:rsidRPr="00C10A86"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C10A86">
        <w:rPr>
          <w:sz w:val="22"/>
          <w:szCs w:val="22"/>
        </w:rPr>
        <w:t>In keeping with the St. Norbert College mission to help students develop their full potential, and compliance with the Americans with Disabilities Act, the College provides supportive services to students with disabilities. For inquiries and further details, please visit the Academic Support Services Office located in Todd Wehr Hall, Room 211</w:t>
      </w:r>
      <w:r>
        <w:rPr>
          <w:sz w:val="22"/>
          <w:szCs w:val="22"/>
        </w:rPr>
        <w:t xml:space="preserve">, call </w:t>
      </w:r>
      <w:r w:rsidRPr="00C10A86">
        <w:rPr>
          <w:sz w:val="22"/>
          <w:szCs w:val="22"/>
        </w:rPr>
        <w:t>403-132</w:t>
      </w:r>
      <w:r>
        <w:rPr>
          <w:sz w:val="22"/>
          <w:szCs w:val="22"/>
        </w:rPr>
        <w:t>1</w:t>
      </w:r>
      <w:r w:rsidRPr="00C10A86">
        <w:rPr>
          <w:sz w:val="22"/>
          <w:szCs w:val="22"/>
        </w:rPr>
        <w:t xml:space="preserve">, or visit </w:t>
      </w:r>
      <w:r w:rsidRPr="00437EAA">
        <w:rPr>
          <w:sz w:val="22"/>
          <w:szCs w:val="22"/>
        </w:rPr>
        <w:t xml:space="preserve">the </w:t>
      </w:r>
      <w:r w:rsidRPr="00437EAA">
        <w:rPr>
          <w:bCs/>
          <w:sz w:val="22"/>
          <w:szCs w:val="22"/>
        </w:rPr>
        <w:t>website</w:t>
      </w:r>
      <w:r w:rsidRPr="00C10A86">
        <w:rPr>
          <w:b/>
          <w:bCs/>
          <w:sz w:val="22"/>
          <w:szCs w:val="22"/>
        </w:rPr>
        <w:t xml:space="preserve"> </w:t>
      </w:r>
      <w:hyperlink r:id="rId8" w:history="1">
        <w:r w:rsidRPr="00C10A86">
          <w:rPr>
            <w:rStyle w:val="SYSHYPERTEXT"/>
            <w:sz w:val="22"/>
            <w:szCs w:val="22"/>
          </w:rPr>
          <w:t>www.snc.edu/academicsupport/disabilities.html.</w:t>
        </w:r>
      </w:hyperlink>
    </w:p>
    <w:p w14:paraId="68DC7E90"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6DF046E2"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35DC2D82"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TENTATIVE READING SCHEDULE:</w:t>
      </w:r>
    </w:p>
    <w:p w14:paraId="5ACAB329" w14:textId="622245B5" w:rsidR="00230E9E" w:rsidRDefault="00994D76"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March 19</w:t>
      </w:r>
      <w:r w:rsidR="00230E9E">
        <w:rPr>
          <w:bCs/>
          <w:sz w:val="22"/>
          <w:szCs w:val="22"/>
        </w:rPr>
        <w:tab/>
      </w:r>
      <w:r w:rsidR="00541ABE">
        <w:rPr>
          <w:b/>
          <w:bCs/>
          <w:sz w:val="22"/>
          <w:szCs w:val="22"/>
        </w:rPr>
        <w:t>Introduction/Overview of Early Christian Practices</w:t>
      </w:r>
      <w:r w:rsidR="00230E9E">
        <w:rPr>
          <w:bCs/>
          <w:sz w:val="22"/>
          <w:szCs w:val="22"/>
        </w:rPr>
        <w:br/>
      </w:r>
      <w:r w:rsidR="00230E9E">
        <w:rPr>
          <w:bCs/>
          <w:sz w:val="22"/>
          <w:szCs w:val="22"/>
        </w:rPr>
        <w:tab/>
      </w:r>
      <w:r w:rsidR="00230E9E">
        <w:rPr>
          <w:bCs/>
          <w:sz w:val="22"/>
          <w:szCs w:val="22"/>
        </w:rPr>
        <w:tab/>
        <w:t>Irwin</w:t>
      </w:r>
      <w:r w:rsidR="00541ABE">
        <w:rPr>
          <w:bCs/>
          <w:sz w:val="22"/>
          <w:szCs w:val="22"/>
        </w:rPr>
        <w:t>, v.-69</w:t>
      </w:r>
    </w:p>
    <w:p w14:paraId="2D480B0E" w14:textId="762A6E41" w:rsidR="00230E9E" w:rsidRPr="00B753B2" w:rsidRDefault="00541AB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t>Power, 1-50</w:t>
      </w:r>
    </w:p>
    <w:p w14:paraId="4B98229D" w14:textId="77777777" w:rsidR="00B753B2"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186837B9" w14:textId="5080A2BC" w:rsidR="00230E9E" w:rsidRDefault="00541AB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March 26</w:t>
      </w:r>
      <w:r w:rsidR="00230E9E">
        <w:rPr>
          <w:bCs/>
          <w:sz w:val="22"/>
          <w:szCs w:val="22"/>
        </w:rPr>
        <w:tab/>
      </w:r>
      <w:r>
        <w:rPr>
          <w:b/>
          <w:bCs/>
          <w:sz w:val="22"/>
          <w:szCs w:val="22"/>
        </w:rPr>
        <w:t>Medieval Period</w:t>
      </w:r>
      <w:r>
        <w:rPr>
          <w:bCs/>
          <w:sz w:val="22"/>
          <w:szCs w:val="22"/>
        </w:rPr>
        <w:br/>
      </w:r>
      <w:r>
        <w:rPr>
          <w:bCs/>
          <w:sz w:val="22"/>
          <w:szCs w:val="22"/>
        </w:rPr>
        <w:tab/>
      </w:r>
      <w:r>
        <w:rPr>
          <w:bCs/>
          <w:sz w:val="22"/>
          <w:szCs w:val="22"/>
        </w:rPr>
        <w:tab/>
        <w:t>Irwin, 70-111</w:t>
      </w:r>
      <w:r w:rsidR="00230E9E">
        <w:rPr>
          <w:bCs/>
          <w:sz w:val="22"/>
          <w:szCs w:val="22"/>
        </w:rPr>
        <w:br/>
      </w:r>
      <w:r w:rsidR="00C80035">
        <w:rPr>
          <w:bCs/>
          <w:sz w:val="22"/>
          <w:szCs w:val="22"/>
        </w:rPr>
        <w:tab/>
      </w:r>
      <w:r w:rsidR="00C80035">
        <w:rPr>
          <w:bCs/>
          <w:sz w:val="22"/>
          <w:szCs w:val="22"/>
        </w:rPr>
        <w:tab/>
      </w:r>
      <w:r w:rsidR="00C80035" w:rsidRPr="003336F3">
        <w:rPr>
          <w:bCs/>
          <w:sz w:val="22"/>
          <w:szCs w:val="22"/>
        </w:rPr>
        <w:t xml:space="preserve">Martos, </w:t>
      </w:r>
      <w:r w:rsidR="003336F3">
        <w:rPr>
          <w:bCs/>
          <w:sz w:val="22"/>
          <w:szCs w:val="22"/>
        </w:rPr>
        <w:t xml:space="preserve">Chapters I, II; </w:t>
      </w:r>
      <w:r w:rsidR="00C80035" w:rsidRPr="003336F3">
        <w:rPr>
          <w:bCs/>
          <w:sz w:val="22"/>
          <w:szCs w:val="22"/>
        </w:rPr>
        <w:t>1-46</w:t>
      </w:r>
    </w:p>
    <w:p w14:paraId="10403A85" w14:textId="7C59E965" w:rsidR="00B753B2"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r>
      <w:r>
        <w:rPr>
          <w:b/>
          <w:bCs/>
          <w:sz w:val="22"/>
          <w:szCs w:val="22"/>
        </w:rPr>
        <w:t>Response Paper One</w:t>
      </w:r>
      <w:r w:rsidRPr="00B753B2">
        <w:rPr>
          <w:b/>
          <w:bCs/>
          <w:sz w:val="22"/>
          <w:szCs w:val="22"/>
        </w:rPr>
        <w:t xml:space="preserve"> Due</w:t>
      </w:r>
    </w:p>
    <w:p w14:paraId="712E76AA"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1E8B5C62" w14:textId="7C6F4846" w:rsidR="00230E9E" w:rsidRDefault="00541AB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April 2</w:t>
      </w:r>
      <w:r w:rsidR="00230E9E">
        <w:rPr>
          <w:bCs/>
          <w:sz w:val="22"/>
          <w:szCs w:val="22"/>
        </w:rPr>
        <w:tab/>
      </w:r>
      <w:r w:rsidR="00230E9E">
        <w:rPr>
          <w:bCs/>
          <w:sz w:val="22"/>
          <w:szCs w:val="22"/>
        </w:rPr>
        <w:tab/>
      </w:r>
      <w:r w:rsidR="004C7363">
        <w:rPr>
          <w:b/>
          <w:bCs/>
          <w:sz w:val="22"/>
          <w:szCs w:val="22"/>
        </w:rPr>
        <w:t>Reformation to Vatican II</w:t>
      </w:r>
    </w:p>
    <w:p w14:paraId="6363E28F" w14:textId="71EFF171" w:rsidR="00230E9E" w:rsidRDefault="004C736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sidR="00C80035">
        <w:rPr>
          <w:bCs/>
          <w:sz w:val="22"/>
          <w:szCs w:val="22"/>
        </w:rPr>
        <w:tab/>
        <w:t>Irwin, 112-187</w:t>
      </w:r>
      <w:r w:rsidR="00C80035">
        <w:rPr>
          <w:bCs/>
          <w:sz w:val="22"/>
          <w:szCs w:val="22"/>
        </w:rPr>
        <w:br/>
      </w:r>
      <w:r w:rsidR="00C80035">
        <w:rPr>
          <w:bCs/>
          <w:sz w:val="22"/>
          <w:szCs w:val="22"/>
        </w:rPr>
        <w:tab/>
      </w:r>
      <w:r w:rsidR="00C80035">
        <w:rPr>
          <w:bCs/>
          <w:sz w:val="22"/>
          <w:szCs w:val="22"/>
        </w:rPr>
        <w:tab/>
      </w:r>
      <w:r w:rsidR="00C80035" w:rsidRPr="003336F3">
        <w:rPr>
          <w:bCs/>
          <w:sz w:val="22"/>
          <w:szCs w:val="22"/>
        </w:rPr>
        <w:t xml:space="preserve">Martos, </w:t>
      </w:r>
      <w:r w:rsidR="003336F3">
        <w:rPr>
          <w:bCs/>
          <w:sz w:val="22"/>
          <w:szCs w:val="22"/>
        </w:rPr>
        <w:t xml:space="preserve">Chaptrs III, IV; </w:t>
      </w:r>
      <w:r w:rsidR="00C80035" w:rsidRPr="003336F3">
        <w:rPr>
          <w:bCs/>
          <w:sz w:val="22"/>
          <w:szCs w:val="22"/>
        </w:rPr>
        <w:t>47-101</w:t>
      </w:r>
    </w:p>
    <w:p w14:paraId="0DAC2267" w14:textId="7AF99A8E" w:rsidR="00B753B2"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r>
      <w:r>
        <w:rPr>
          <w:b/>
          <w:bCs/>
          <w:sz w:val="22"/>
          <w:szCs w:val="22"/>
        </w:rPr>
        <w:t>Response Paper Two</w:t>
      </w:r>
      <w:r w:rsidRPr="00B753B2">
        <w:rPr>
          <w:b/>
          <w:bCs/>
          <w:sz w:val="22"/>
          <w:szCs w:val="22"/>
        </w:rPr>
        <w:t xml:space="preserve"> Due</w:t>
      </w:r>
    </w:p>
    <w:p w14:paraId="09F76251"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72837326" w14:textId="7D00E1DA" w:rsidR="00230E9E" w:rsidRPr="00EA1A49" w:rsidRDefault="004C736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Cs/>
          <w:sz w:val="22"/>
          <w:szCs w:val="22"/>
        </w:rPr>
        <w:t>April 9</w:t>
      </w:r>
      <w:r>
        <w:rPr>
          <w:bCs/>
          <w:sz w:val="22"/>
          <w:szCs w:val="22"/>
        </w:rPr>
        <w:tab/>
      </w:r>
      <w:r w:rsidR="00230E9E">
        <w:rPr>
          <w:bCs/>
          <w:sz w:val="22"/>
          <w:szCs w:val="22"/>
        </w:rPr>
        <w:tab/>
      </w:r>
      <w:r>
        <w:rPr>
          <w:b/>
          <w:bCs/>
          <w:sz w:val="22"/>
          <w:szCs w:val="22"/>
        </w:rPr>
        <w:t>Contemporary Sacramental Theology</w:t>
      </w:r>
    </w:p>
    <w:p w14:paraId="37E55BB6" w14:textId="56731557" w:rsidR="00230E9E" w:rsidRDefault="004C736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sidR="00C80035">
        <w:rPr>
          <w:bCs/>
          <w:sz w:val="22"/>
          <w:szCs w:val="22"/>
        </w:rPr>
        <w:tab/>
        <w:t>Irwin, 188-273</w:t>
      </w:r>
      <w:r w:rsidR="00C80035">
        <w:rPr>
          <w:bCs/>
          <w:sz w:val="22"/>
          <w:szCs w:val="22"/>
        </w:rPr>
        <w:br/>
      </w:r>
      <w:r w:rsidR="00C80035">
        <w:rPr>
          <w:bCs/>
          <w:sz w:val="22"/>
          <w:szCs w:val="22"/>
        </w:rPr>
        <w:tab/>
      </w:r>
      <w:r w:rsidR="00C80035">
        <w:rPr>
          <w:bCs/>
          <w:sz w:val="22"/>
          <w:szCs w:val="22"/>
        </w:rPr>
        <w:tab/>
      </w:r>
      <w:r w:rsidR="00C80035" w:rsidRPr="003336F3">
        <w:rPr>
          <w:bCs/>
          <w:sz w:val="22"/>
          <w:szCs w:val="22"/>
        </w:rPr>
        <w:t>Martos</w:t>
      </w:r>
      <w:r w:rsidR="003336F3">
        <w:rPr>
          <w:bCs/>
          <w:sz w:val="22"/>
          <w:szCs w:val="22"/>
        </w:rPr>
        <w:t>, V; 102-14</w:t>
      </w:r>
      <w:r w:rsidR="00C80035" w:rsidRPr="003336F3">
        <w:rPr>
          <w:bCs/>
          <w:sz w:val="22"/>
          <w:szCs w:val="22"/>
        </w:rPr>
        <w:t>4</w:t>
      </w:r>
    </w:p>
    <w:p w14:paraId="131A7C9A" w14:textId="46847B56" w:rsidR="00B753B2"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r>
      <w:r>
        <w:rPr>
          <w:b/>
          <w:bCs/>
          <w:sz w:val="22"/>
          <w:szCs w:val="22"/>
        </w:rPr>
        <w:t>Response Paper Three</w:t>
      </w:r>
      <w:r w:rsidRPr="00B753B2">
        <w:rPr>
          <w:b/>
          <w:bCs/>
          <w:sz w:val="22"/>
          <w:szCs w:val="22"/>
        </w:rPr>
        <w:t xml:space="preserve"> Due</w:t>
      </w:r>
    </w:p>
    <w:p w14:paraId="74FC25F6"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08494E33" w14:textId="4E2B6685" w:rsidR="00230E9E" w:rsidRDefault="004C736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April 16</w:t>
      </w:r>
      <w:r w:rsidR="00230E9E">
        <w:rPr>
          <w:bCs/>
          <w:sz w:val="22"/>
          <w:szCs w:val="22"/>
        </w:rPr>
        <w:tab/>
      </w:r>
      <w:r>
        <w:rPr>
          <w:b/>
          <w:bCs/>
          <w:sz w:val="22"/>
          <w:szCs w:val="22"/>
        </w:rPr>
        <w:t>Contemporary Sacramental Theology (con’t)</w:t>
      </w:r>
    </w:p>
    <w:p w14:paraId="7F49A981" w14:textId="23BF0497" w:rsidR="00230E9E" w:rsidRDefault="004C736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t>Irwin, 274-373</w:t>
      </w:r>
      <w:r>
        <w:rPr>
          <w:bCs/>
          <w:sz w:val="22"/>
          <w:szCs w:val="22"/>
        </w:rPr>
        <w:br/>
      </w:r>
      <w:r>
        <w:rPr>
          <w:bCs/>
          <w:sz w:val="22"/>
          <w:szCs w:val="22"/>
        </w:rPr>
        <w:tab/>
      </w:r>
      <w:r>
        <w:rPr>
          <w:bCs/>
          <w:sz w:val="22"/>
          <w:szCs w:val="22"/>
        </w:rPr>
        <w:tab/>
        <w:t>Winner,</w:t>
      </w:r>
      <w:r w:rsidR="009B29F4">
        <w:rPr>
          <w:bCs/>
          <w:sz w:val="22"/>
          <w:szCs w:val="22"/>
        </w:rPr>
        <w:t xml:space="preserve"> 1-94</w:t>
      </w:r>
    </w:p>
    <w:p w14:paraId="06063B1D" w14:textId="36D5589B" w:rsidR="00B753B2"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r>
      <w:r>
        <w:rPr>
          <w:b/>
          <w:bCs/>
          <w:sz w:val="22"/>
          <w:szCs w:val="22"/>
        </w:rPr>
        <w:t>Response Paper Four</w:t>
      </w:r>
      <w:r w:rsidRPr="00B753B2">
        <w:rPr>
          <w:b/>
          <w:bCs/>
          <w:sz w:val="22"/>
          <w:szCs w:val="22"/>
        </w:rPr>
        <w:t xml:space="preserve"> Due</w:t>
      </w:r>
    </w:p>
    <w:p w14:paraId="47F8B5CB"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005B43FE" w14:textId="2CEF2918" w:rsidR="004C7363" w:rsidRPr="004C7363" w:rsidRDefault="00C80035"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Cs/>
          <w:sz w:val="22"/>
          <w:szCs w:val="22"/>
        </w:rPr>
        <w:t>April 24</w:t>
      </w:r>
      <w:r w:rsidR="004C7363">
        <w:rPr>
          <w:bCs/>
          <w:sz w:val="22"/>
          <w:szCs w:val="22"/>
        </w:rPr>
        <w:t>**</w:t>
      </w:r>
      <w:r w:rsidR="00230E9E">
        <w:rPr>
          <w:bCs/>
          <w:sz w:val="22"/>
          <w:szCs w:val="22"/>
        </w:rPr>
        <w:tab/>
      </w:r>
      <w:r w:rsidR="004C7363">
        <w:rPr>
          <w:b/>
          <w:bCs/>
          <w:sz w:val="22"/>
          <w:szCs w:val="22"/>
        </w:rPr>
        <w:t>Contemporary Sacramental Practices: State of the Question</w:t>
      </w:r>
    </w:p>
    <w:p w14:paraId="13845D33" w14:textId="08AFAC56" w:rsidR="00230E9E" w:rsidRDefault="004C736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t>Power, 311-324</w:t>
      </w:r>
      <w:r w:rsidR="00561EDF">
        <w:rPr>
          <w:bCs/>
          <w:sz w:val="22"/>
          <w:szCs w:val="22"/>
        </w:rPr>
        <w:t xml:space="preserve"> (attachment)</w:t>
      </w:r>
    </w:p>
    <w:p w14:paraId="064C2D98" w14:textId="721FCD46" w:rsidR="004C7363" w:rsidRDefault="004C7363"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t xml:space="preserve">Winner, </w:t>
      </w:r>
      <w:r w:rsidR="009B29F4">
        <w:rPr>
          <w:bCs/>
          <w:sz w:val="22"/>
          <w:szCs w:val="22"/>
        </w:rPr>
        <w:t>95-206</w:t>
      </w:r>
    </w:p>
    <w:p w14:paraId="57F81E28" w14:textId="2857CE75" w:rsidR="00230E9E"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r>
      <w:r>
        <w:rPr>
          <w:bCs/>
          <w:sz w:val="22"/>
          <w:szCs w:val="22"/>
        </w:rPr>
        <w:tab/>
        <w:t>Preliminary Reports by Students on their Theological Analysis Papers</w:t>
      </w:r>
    </w:p>
    <w:p w14:paraId="2B3E9BE6" w14:textId="0621E7B3" w:rsidR="00B753B2"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Cs/>
          <w:sz w:val="22"/>
          <w:szCs w:val="22"/>
        </w:rPr>
        <w:tab/>
      </w:r>
      <w:r>
        <w:rPr>
          <w:bCs/>
          <w:sz w:val="22"/>
          <w:szCs w:val="22"/>
        </w:rPr>
        <w:tab/>
      </w:r>
      <w:r>
        <w:rPr>
          <w:b/>
          <w:bCs/>
          <w:sz w:val="22"/>
          <w:szCs w:val="22"/>
        </w:rPr>
        <w:t>Response Paper Five</w:t>
      </w:r>
      <w:r w:rsidRPr="00B753B2">
        <w:rPr>
          <w:b/>
          <w:bCs/>
          <w:sz w:val="22"/>
          <w:szCs w:val="22"/>
        </w:rPr>
        <w:t xml:space="preserve"> Due</w:t>
      </w:r>
    </w:p>
    <w:p w14:paraId="5DC280B6" w14:textId="77777777" w:rsidR="00B753B2"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7B2CA500" w14:textId="7F819444" w:rsidR="00AC72F9" w:rsidRDefault="00AC72F9"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Theological Analysis </w:t>
      </w:r>
      <w:r w:rsidR="00C80035">
        <w:rPr>
          <w:b/>
          <w:bCs/>
          <w:sz w:val="22"/>
          <w:szCs w:val="22"/>
        </w:rPr>
        <w:t>Paper Due: May 10</w:t>
      </w:r>
      <w:r>
        <w:rPr>
          <w:b/>
          <w:bCs/>
          <w:sz w:val="22"/>
          <w:szCs w:val="22"/>
        </w:rPr>
        <w:t>, 2019</w:t>
      </w:r>
    </w:p>
    <w:p w14:paraId="118AF321" w14:textId="77777777" w:rsidR="00B753B2" w:rsidRDefault="00B753B2"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64A9B9F3"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*other readings will be emailed to you.</w:t>
      </w:r>
    </w:p>
    <w:p w14:paraId="5E4F7BD0"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2A4DC0EB" w14:textId="77777777" w:rsidR="00230E9E"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03EEAF7F" w14:textId="77777777" w:rsidR="00230E9E" w:rsidRPr="00437EAA"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76CF507C" w14:textId="77777777" w:rsidR="00230E9E" w:rsidRPr="00437EAA"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437EAA">
        <w:rPr>
          <w:b/>
          <w:bCs/>
          <w:sz w:val="22"/>
          <w:szCs w:val="22"/>
        </w:rPr>
        <w:t>Response papers:</w:t>
      </w:r>
    </w:p>
    <w:p w14:paraId="0A4F8B7A" w14:textId="480E2BAE" w:rsidR="00230E9E" w:rsidRPr="00437EAA" w:rsidRDefault="00230E9E" w:rsidP="0023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 response paper is more formal than a reflection paper which typically draws on personal experiences and observations.  In a two to three</w:t>
      </w:r>
      <w:r w:rsidR="004C7363">
        <w:rPr>
          <w:bCs/>
          <w:sz w:val="22"/>
          <w:szCs w:val="22"/>
        </w:rPr>
        <w:t>-</w:t>
      </w:r>
      <w:r>
        <w:rPr>
          <w:bCs/>
          <w:sz w:val="22"/>
          <w:szCs w:val="22"/>
        </w:rPr>
        <w:t xml:space="preserve">page paper (typed, double spaced), list three to four BIG ideas you got out of the reading. Explain each of the ideas and why they are important. Finally list questions for clarification (i.e., significant ideas that you are having trouble understanding) and questions for discussion </w:t>
      </w:r>
      <w:r>
        <w:rPr>
          <w:bCs/>
          <w:sz w:val="22"/>
          <w:szCs w:val="22"/>
        </w:rPr>
        <w:lastRenderedPageBreak/>
        <w:t>(i.e., topics you would like to discuss in class).</w:t>
      </w:r>
    </w:p>
    <w:p w14:paraId="28A6867D" w14:textId="77777777" w:rsidR="008143FE" w:rsidRDefault="001C07FB"/>
    <w:sectPr w:rsidR="008143FE" w:rsidSect="00230E9E">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F85B" w14:textId="77777777" w:rsidR="001C07FB" w:rsidRDefault="001C07FB">
      <w:r>
        <w:separator/>
      </w:r>
    </w:p>
  </w:endnote>
  <w:endnote w:type="continuationSeparator" w:id="0">
    <w:p w14:paraId="39E8E7D0" w14:textId="77777777" w:rsidR="001C07FB" w:rsidRDefault="001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52881"/>
      <w:docPartObj>
        <w:docPartGallery w:val="Page Numbers (Bottom of Page)"/>
        <w:docPartUnique/>
      </w:docPartObj>
    </w:sdtPr>
    <w:sdtEndPr>
      <w:rPr>
        <w:color w:val="7F7F7F" w:themeColor="background1" w:themeShade="7F"/>
        <w:spacing w:val="60"/>
      </w:rPr>
    </w:sdtEndPr>
    <w:sdtContent>
      <w:p w14:paraId="59D83B85" w14:textId="22C42963" w:rsidR="00EA1A49" w:rsidRDefault="00230E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3467">
          <w:rPr>
            <w:noProof/>
          </w:rPr>
          <w:t>3</w:t>
        </w:r>
        <w:r>
          <w:rPr>
            <w:noProof/>
          </w:rPr>
          <w:fldChar w:fldCharType="end"/>
        </w:r>
        <w:r>
          <w:t xml:space="preserve"> | </w:t>
        </w:r>
        <w:r>
          <w:rPr>
            <w:color w:val="7F7F7F" w:themeColor="background1" w:themeShade="7F"/>
            <w:spacing w:val="60"/>
          </w:rPr>
          <w:t>Page</w:t>
        </w:r>
      </w:p>
    </w:sdtContent>
  </w:sdt>
  <w:p w14:paraId="57705640" w14:textId="77777777" w:rsidR="000F2A5E" w:rsidRDefault="001C07FB">
    <w:pPr>
      <w:spacing w:line="1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E4A8" w14:textId="77777777" w:rsidR="001C07FB" w:rsidRDefault="001C07FB">
      <w:r>
        <w:separator/>
      </w:r>
    </w:p>
  </w:footnote>
  <w:footnote w:type="continuationSeparator" w:id="0">
    <w:p w14:paraId="5D3D8580" w14:textId="77777777" w:rsidR="001C07FB" w:rsidRDefault="001C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376F"/>
    <w:multiLevelType w:val="hybridMultilevel"/>
    <w:tmpl w:val="C422BDFA"/>
    <w:lvl w:ilvl="0" w:tplc="858CE576">
      <w:start w:val="1"/>
      <w:numFmt w:val="decimal"/>
      <w:lvlText w:val="%1."/>
      <w:lvlJc w:val="left"/>
      <w:pPr>
        <w:ind w:left="37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9E"/>
    <w:rsid w:val="00151C00"/>
    <w:rsid w:val="001A17AD"/>
    <w:rsid w:val="001A753F"/>
    <w:rsid w:val="001C07FB"/>
    <w:rsid w:val="001F004B"/>
    <w:rsid w:val="001F0D1C"/>
    <w:rsid w:val="00230E9E"/>
    <w:rsid w:val="00297E1F"/>
    <w:rsid w:val="003336F3"/>
    <w:rsid w:val="00336763"/>
    <w:rsid w:val="00454C76"/>
    <w:rsid w:val="004C7363"/>
    <w:rsid w:val="00541ABE"/>
    <w:rsid w:val="00561EDF"/>
    <w:rsid w:val="005C002C"/>
    <w:rsid w:val="00864F6C"/>
    <w:rsid w:val="009030D5"/>
    <w:rsid w:val="00937643"/>
    <w:rsid w:val="009637DB"/>
    <w:rsid w:val="009672FD"/>
    <w:rsid w:val="00994D76"/>
    <w:rsid w:val="009B29F4"/>
    <w:rsid w:val="009F4F8C"/>
    <w:rsid w:val="00A234B0"/>
    <w:rsid w:val="00AA2AC0"/>
    <w:rsid w:val="00AC72F9"/>
    <w:rsid w:val="00AE49B8"/>
    <w:rsid w:val="00B753B2"/>
    <w:rsid w:val="00C73467"/>
    <w:rsid w:val="00C80035"/>
    <w:rsid w:val="00CA2D55"/>
    <w:rsid w:val="00E65489"/>
    <w:rsid w:val="00F6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BA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E9E"/>
    <w:pPr>
      <w:widowControl w:val="0"/>
      <w:autoSpaceDE w:val="0"/>
      <w:autoSpaceDN w:val="0"/>
      <w:adjustRightInd w:val="0"/>
    </w:pPr>
    <w:rPr>
      <w:rFonts w:ascii="Times New Roman" w:eastAsiaTheme="minorEastAsia" w:hAnsi="Times New Roman" w:cs="Times New Roman"/>
      <w:sz w:val="20"/>
      <w:szCs w:val="20"/>
    </w:rPr>
  </w:style>
  <w:style w:type="paragraph" w:styleId="Heading1">
    <w:name w:val="heading 1"/>
    <w:basedOn w:val="Normal"/>
    <w:next w:val="Normal"/>
    <w:link w:val="Heading1Char"/>
    <w:qFormat/>
    <w:rsid w:val="00230E9E"/>
    <w:pPr>
      <w:keepNext/>
      <w:widowControl/>
      <w:autoSpaceDE/>
      <w:autoSpaceDN/>
      <w:adjustRightInd/>
      <w:outlineLvl w:val="0"/>
    </w:pPr>
    <w:rPr>
      <w:rFonts w:eastAsia="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E9E"/>
    <w:rPr>
      <w:rFonts w:ascii="Times New Roman" w:eastAsia="Times New Roman" w:hAnsi="Times New Roman" w:cs="Times New Roman"/>
      <w:i/>
      <w:szCs w:val="20"/>
    </w:rPr>
  </w:style>
  <w:style w:type="character" w:customStyle="1" w:styleId="SYSHYPERTEXT">
    <w:name w:val="SYS_HYPERTEXT"/>
    <w:uiPriority w:val="99"/>
    <w:rsid w:val="00230E9E"/>
    <w:rPr>
      <w:color w:val="0000FF"/>
      <w:u w:val="single"/>
    </w:rPr>
  </w:style>
  <w:style w:type="paragraph" w:styleId="Footer">
    <w:name w:val="footer"/>
    <w:basedOn w:val="Normal"/>
    <w:link w:val="FooterChar"/>
    <w:uiPriority w:val="99"/>
    <w:unhideWhenUsed/>
    <w:rsid w:val="00230E9E"/>
    <w:pPr>
      <w:tabs>
        <w:tab w:val="center" w:pos="4680"/>
        <w:tab w:val="right" w:pos="9360"/>
      </w:tabs>
    </w:pPr>
  </w:style>
  <w:style w:type="character" w:customStyle="1" w:styleId="FooterChar">
    <w:name w:val="Footer Char"/>
    <w:basedOn w:val="DefaultParagraphFont"/>
    <w:link w:val="Footer"/>
    <w:uiPriority w:val="99"/>
    <w:rsid w:val="00230E9E"/>
    <w:rPr>
      <w:rFonts w:ascii="Times New Roman" w:eastAsiaTheme="minorEastAsia" w:hAnsi="Times New Roman" w:cs="Times New Roman"/>
      <w:sz w:val="20"/>
      <w:szCs w:val="20"/>
    </w:rPr>
  </w:style>
  <w:style w:type="paragraph" w:styleId="ListParagraph">
    <w:name w:val="List Paragraph"/>
    <w:basedOn w:val="Normal"/>
    <w:uiPriority w:val="34"/>
    <w:qFormat/>
    <w:rsid w:val="0023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974763">
      <w:bodyDiv w:val="1"/>
      <w:marLeft w:val="0"/>
      <w:marRight w:val="0"/>
      <w:marTop w:val="0"/>
      <w:marBottom w:val="0"/>
      <w:divBdr>
        <w:top w:val="none" w:sz="0" w:space="0" w:color="auto"/>
        <w:left w:val="none" w:sz="0" w:space="0" w:color="auto"/>
        <w:bottom w:val="none" w:sz="0" w:space="0" w:color="auto"/>
        <w:right w:val="none" w:sz="0" w:space="0" w:color="auto"/>
      </w:divBdr>
      <w:divsChild>
        <w:div w:id="1874031790">
          <w:marLeft w:val="0"/>
          <w:marRight w:val="0"/>
          <w:marTop w:val="0"/>
          <w:marBottom w:val="0"/>
          <w:divBdr>
            <w:top w:val="none" w:sz="0" w:space="0" w:color="auto"/>
            <w:left w:val="none" w:sz="0" w:space="0" w:color="auto"/>
            <w:bottom w:val="none" w:sz="0" w:space="0" w:color="auto"/>
            <w:right w:val="none" w:sz="0" w:space="0" w:color="auto"/>
          </w:divBdr>
        </w:div>
        <w:div w:id="1484078968">
          <w:marLeft w:val="0"/>
          <w:marRight w:val="0"/>
          <w:marTop w:val="0"/>
          <w:marBottom w:val="0"/>
          <w:divBdr>
            <w:top w:val="none" w:sz="0" w:space="0" w:color="auto"/>
            <w:left w:val="none" w:sz="0" w:space="0" w:color="auto"/>
            <w:bottom w:val="none" w:sz="0" w:space="0" w:color="auto"/>
            <w:right w:val="none" w:sz="0" w:space="0" w:color="auto"/>
          </w:divBdr>
        </w:div>
        <w:div w:id="2085030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c.edu/academi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Wahlen</cp:lastModifiedBy>
  <cp:revision>2</cp:revision>
  <dcterms:created xsi:type="dcterms:W3CDTF">2019-04-08T17:40:00Z</dcterms:created>
  <dcterms:modified xsi:type="dcterms:W3CDTF">2019-04-08T17:40:00Z</dcterms:modified>
</cp:coreProperties>
</file>